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2DCB5" w14:textId="38142E5B" w:rsidR="0026765D" w:rsidRPr="0026765D" w:rsidRDefault="00FF791A" w:rsidP="00B50382">
      <w:pPr>
        <w:spacing w:line="480" w:lineRule="auto"/>
        <w:rPr>
          <w:lang w:val="en-US"/>
        </w:rPr>
      </w:pPr>
      <w:r>
        <w:rPr>
          <w:sz w:val="28"/>
          <w:lang w:val="en-US"/>
        </w:rPr>
        <w:t xml:space="preserve">Assessing </w:t>
      </w:r>
      <w:r w:rsidR="00732323">
        <w:rPr>
          <w:sz w:val="28"/>
          <w:lang w:val="en-US"/>
        </w:rPr>
        <w:t>hydrothermal liquefaction for the production of bio-oil and</w:t>
      </w:r>
      <w:r w:rsidR="000833BF">
        <w:rPr>
          <w:sz w:val="28"/>
          <w:lang w:val="en-US"/>
        </w:rPr>
        <w:t xml:space="preserve"> enhanced</w:t>
      </w:r>
      <w:r w:rsidR="00732323">
        <w:rPr>
          <w:sz w:val="28"/>
          <w:lang w:val="en-US"/>
        </w:rPr>
        <w:t xml:space="preserve"> metal recovery from </w:t>
      </w:r>
      <w:r w:rsidR="00CE1BD7">
        <w:rPr>
          <w:sz w:val="28"/>
          <w:lang w:val="en-US"/>
        </w:rPr>
        <w:t>micro</w:t>
      </w:r>
      <w:r w:rsidR="00732323">
        <w:rPr>
          <w:sz w:val="28"/>
          <w:lang w:val="en-US"/>
        </w:rPr>
        <w:t xml:space="preserve">algae </w:t>
      </w:r>
      <w:r w:rsidR="00235EFC">
        <w:rPr>
          <w:sz w:val="28"/>
          <w:lang w:val="en-US"/>
        </w:rPr>
        <w:t xml:space="preserve">cultivated on </w:t>
      </w:r>
      <w:r w:rsidR="00732323">
        <w:rPr>
          <w:sz w:val="28"/>
          <w:lang w:val="en-US"/>
        </w:rPr>
        <w:t>acid mine drainage</w:t>
      </w:r>
    </w:p>
    <w:p w14:paraId="506ABA60" w14:textId="029733AE" w:rsidR="00F37816" w:rsidRPr="0026765D" w:rsidRDefault="00F37816" w:rsidP="00F37816">
      <w:pPr>
        <w:spacing w:line="480" w:lineRule="auto"/>
        <w:rPr>
          <w:i/>
          <w:lang w:val="en-US"/>
        </w:rPr>
      </w:pPr>
      <w:r>
        <w:rPr>
          <w:i/>
          <w:lang w:val="en-US"/>
        </w:rPr>
        <w:t>Sofia Raikova</w:t>
      </w:r>
      <w:r w:rsidRPr="0026765D">
        <w:rPr>
          <w:i/>
          <w:lang w:val="en-US"/>
        </w:rPr>
        <w:t>,</w:t>
      </w:r>
      <w:r w:rsidRPr="0026765D">
        <w:rPr>
          <w:i/>
          <w:vertAlign w:val="superscript"/>
          <w:lang w:val="en-US"/>
        </w:rPr>
        <w:t>a</w:t>
      </w:r>
      <w:r w:rsidRPr="0026765D">
        <w:rPr>
          <w:i/>
          <w:lang w:val="en-US"/>
        </w:rPr>
        <w:t xml:space="preserve"> </w:t>
      </w:r>
      <w:r w:rsidR="00630B80">
        <w:rPr>
          <w:i/>
          <w:lang w:val="en-US"/>
        </w:rPr>
        <w:t>Holly Smith-</w:t>
      </w:r>
      <w:r>
        <w:rPr>
          <w:i/>
          <w:lang w:val="en-US"/>
        </w:rPr>
        <w:t>Baedorf</w:t>
      </w:r>
      <w:r w:rsidRPr="0026765D">
        <w:rPr>
          <w:i/>
          <w:lang w:val="en-US"/>
        </w:rPr>
        <w:t>,</w:t>
      </w:r>
      <w:r>
        <w:rPr>
          <w:i/>
          <w:vertAlign w:val="superscript"/>
          <w:lang w:val="en-US"/>
        </w:rPr>
        <w:t>b,c</w:t>
      </w:r>
      <w:r w:rsidRPr="0026765D">
        <w:rPr>
          <w:i/>
          <w:lang w:val="en-US"/>
        </w:rPr>
        <w:t xml:space="preserve"> </w:t>
      </w:r>
      <w:r>
        <w:rPr>
          <w:i/>
          <w:lang w:val="en-US"/>
        </w:rPr>
        <w:t>Rachel Bransgrove,</w:t>
      </w:r>
      <w:r>
        <w:rPr>
          <w:i/>
          <w:vertAlign w:val="superscript"/>
          <w:lang w:val="en-US"/>
        </w:rPr>
        <w:t>b,c</w:t>
      </w:r>
      <w:r w:rsidRPr="0026765D">
        <w:rPr>
          <w:i/>
          <w:vertAlign w:val="superscript"/>
          <w:lang w:val="en-US"/>
        </w:rPr>
        <w:t xml:space="preserve"> </w:t>
      </w:r>
      <w:r w:rsidRPr="00376458">
        <w:rPr>
          <w:i/>
          <w:lang w:val="en-US"/>
        </w:rPr>
        <w:t>Oliver</w:t>
      </w:r>
      <w:r>
        <w:rPr>
          <w:i/>
          <w:lang w:val="en-US"/>
        </w:rPr>
        <w:t xml:space="preserve"> Barlow,</w:t>
      </w:r>
      <w:r w:rsidRPr="00376458">
        <w:rPr>
          <w:i/>
          <w:vertAlign w:val="superscript"/>
          <w:lang w:val="en-US"/>
        </w:rPr>
        <w:t>d</w:t>
      </w:r>
      <w:r>
        <w:rPr>
          <w:i/>
          <w:lang w:val="en-US"/>
        </w:rPr>
        <w:t xml:space="preserve"> Fabio Santomauro,</w:t>
      </w:r>
      <w:r w:rsidRPr="00376458">
        <w:rPr>
          <w:i/>
          <w:vertAlign w:val="superscript"/>
          <w:lang w:val="en-US"/>
        </w:rPr>
        <w:t>d</w:t>
      </w:r>
      <w:r>
        <w:rPr>
          <w:i/>
          <w:lang w:val="en-US"/>
        </w:rPr>
        <w:t xml:space="preserve"> Jonathan Wagner</w:t>
      </w:r>
      <w:r w:rsidRPr="0026765D">
        <w:rPr>
          <w:i/>
          <w:lang w:val="en-US"/>
        </w:rPr>
        <w:t>,</w:t>
      </w:r>
      <w:r>
        <w:rPr>
          <w:i/>
          <w:vertAlign w:val="superscript"/>
          <w:lang w:val="en-US"/>
        </w:rPr>
        <w:t>a</w:t>
      </w:r>
      <w:r w:rsidRPr="0026765D">
        <w:rPr>
          <w:i/>
          <w:lang w:val="en-US"/>
        </w:rPr>
        <w:t xml:space="preserve"> </w:t>
      </w:r>
      <w:r>
        <w:rPr>
          <w:i/>
          <w:lang w:val="en-US"/>
        </w:rPr>
        <w:t>Michael J. Allen</w:t>
      </w:r>
      <w:r w:rsidRPr="0026765D">
        <w:rPr>
          <w:i/>
          <w:lang w:val="en-US"/>
        </w:rPr>
        <w:t>,</w:t>
      </w:r>
      <w:r>
        <w:rPr>
          <w:i/>
          <w:vertAlign w:val="superscript"/>
          <w:lang w:val="en-US"/>
        </w:rPr>
        <w:t>b</w:t>
      </w:r>
      <w:r w:rsidRPr="0026765D">
        <w:rPr>
          <w:i/>
          <w:lang w:val="en-US"/>
        </w:rPr>
        <w:t xml:space="preserve"> </w:t>
      </w:r>
      <w:r w:rsidR="00A44F59" w:rsidRPr="00A44F59">
        <w:rPr>
          <w:i/>
        </w:rPr>
        <w:t>Christopher G</w:t>
      </w:r>
      <w:r w:rsidR="00A44F59">
        <w:rPr>
          <w:i/>
        </w:rPr>
        <w:t>.</w:t>
      </w:r>
      <w:r w:rsidR="00A44F59" w:rsidRPr="00A44F59">
        <w:rPr>
          <w:i/>
        </w:rPr>
        <w:t xml:space="preserve"> Bryan</w:t>
      </w:r>
      <w:r w:rsidRPr="0026765D">
        <w:rPr>
          <w:i/>
          <w:lang w:val="en-US"/>
        </w:rPr>
        <w:t>,</w:t>
      </w:r>
      <w:r>
        <w:rPr>
          <w:i/>
          <w:vertAlign w:val="superscript"/>
          <w:lang w:val="en-US"/>
        </w:rPr>
        <w:t>c</w:t>
      </w:r>
      <w:r w:rsidRPr="0026765D">
        <w:rPr>
          <w:i/>
          <w:vertAlign w:val="superscript"/>
          <w:lang w:val="en-US"/>
        </w:rPr>
        <w:t xml:space="preserve"> </w:t>
      </w:r>
      <w:r w:rsidRPr="00BC2ED7">
        <w:rPr>
          <w:i/>
          <w:lang w:val="en-US"/>
        </w:rPr>
        <w:t>D</w:t>
      </w:r>
      <w:r>
        <w:rPr>
          <w:i/>
          <w:lang w:val="en-US"/>
        </w:rPr>
        <w:t>e</w:t>
      </w:r>
      <w:r w:rsidRPr="00BC2ED7">
        <w:rPr>
          <w:i/>
          <w:lang w:val="en-US"/>
        </w:rPr>
        <w:t>vin</w:t>
      </w:r>
      <w:r>
        <w:rPr>
          <w:i/>
          <w:lang w:val="en-US"/>
        </w:rPr>
        <w:t xml:space="preserve"> Sapsford</w:t>
      </w:r>
      <w:r>
        <w:rPr>
          <w:i/>
          <w:vertAlign w:val="superscript"/>
          <w:lang w:val="en-US"/>
        </w:rPr>
        <w:t>e</w:t>
      </w:r>
      <w:r>
        <w:rPr>
          <w:i/>
          <w:lang w:val="en-US"/>
        </w:rPr>
        <w:t xml:space="preserve"> </w:t>
      </w:r>
      <w:r w:rsidRPr="0026765D">
        <w:rPr>
          <w:i/>
          <w:lang w:val="en-US"/>
        </w:rPr>
        <w:t>and Christopher J. Chuck</w:t>
      </w:r>
      <w:r>
        <w:rPr>
          <w:i/>
          <w:vertAlign w:val="superscript"/>
          <w:lang w:val="en-US"/>
        </w:rPr>
        <w:t>d</w:t>
      </w:r>
      <w:r w:rsidRPr="0026765D">
        <w:rPr>
          <w:i/>
          <w:lang w:val="en-US"/>
        </w:rPr>
        <w:t xml:space="preserve">* </w:t>
      </w:r>
    </w:p>
    <w:p w14:paraId="297CD04A" w14:textId="77777777" w:rsidR="00F37816" w:rsidRDefault="00F37816" w:rsidP="00F37816">
      <w:pPr>
        <w:spacing w:line="480" w:lineRule="auto"/>
        <w:rPr>
          <w:lang w:val="en-US"/>
        </w:rPr>
      </w:pPr>
    </w:p>
    <w:p w14:paraId="344F7170" w14:textId="77777777" w:rsidR="00F37816" w:rsidRPr="0026765D" w:rsidRDefault="00F37816" w:rsidP="00F37816">
      <w:pPr>
        <w:spacing w:line="480" w:lineRule="auto"/>
        <w:rPr>
          <w:lang w:val="en-US"/>
        </w:rPr>
      </w:pPr>
      <w:r w:rsidRPr="0026765D">
        <w:rPr>
          <w:vertAlign w:val="superscript"/>
          <w:lang w:val="en-US"/>
        </w:rPr>
        <w:t>a</w:t>
      </w:r>
      <w:r w:rsidRPr="0026765D">
        <w:rPr>
          <w:lang w:val="en-US"/>
        </w:rPr>
        <w:t xml:space="preserve"> </w:t>
      </w:r>
      <w:r>
        <w:rPr>
          <w:lang w:val="en-US"/>
        </w:rPr>
        <w:t>Centre for Doctoral Training</w:t>
      </w:r>
      <w:r w:rsidRPr="0026765D">
        <w:rPr>
          <w:lang w:val="en-US"/>
        </w:rPr>
        <w:t xml:space="preserve"> in Sustainable Chemical Technologies, Department of Chemical Engineering, University of Bath, </w:t>
      </w:r>
      <w:r>
        <w:rPr>
          <w:lang w:val="en-US"/>
        </w:rPr>
        <w:t xml:space="preserve">Claverton Down, Bath, </w:t>
      </w:r>
      <w:r w:rsidRPr="0026765D">
        <w:rPr>
          <w:lang w:val="en-US"/>
        </w:rPr>
        <w:t>United Kingdom, BA2 7AY.</w:t>
      </w:r>
    </w:p>
    <w:p w14:paraId="66BFA542" w14:textId="77777777" w:rsidR="00F37816" w:rsidRPr="0026765D" w:rsidRDefault="00F37816" w:rsidP="00F37816">
      <w:pPr>
        <w:spacing w:line="480" w:lineRule="auto"/>
        <w:rPr>
          <w:lang w:val="en-US"/>
        </w:rPr>
      </w:pPr>
      <w:r w:rsidRPr="0026765D">
        <w:rPr>
          <w:vertAlign w:val="superscript"/>
          <w:lang w:val="en-US"/>
        </w:rPr>
        <w:t>b</w:t>
      </w:r>
      <w:r>
        <w:rPr>
          <w:vertAlign w:val="superscript"/>
          <w:lang w:val="en-US"/>
        </w:rPr>
        <w:t xml:space="preserve"> </w:t>
      </w:r>
      <w:r>
        <w:rPr>
          <w:lang w:val="en-US"/>
        </w:rPr>
        <w:t xml:space="preserve">Plymouth Marine Laboratory, </w:t>
      </w:r>
      <w:r w:rsidRPr="0026765D">
        <w:rPr>
          <w:lang w:val="en-US"/>
        </w:rPr>
        <w:t>Prospect Place</w:t>
      </w:r>
      <w:r>
        <w:rPr>
          <w:lang w:val="en-US"/>
        </w:rPr>
        <w:t xml:space="preserve">, The Hoe, </w:t>
      </w:r>
      <w:r w:rsidRPr="0026765D">
        <w:rPr>
          <w:lang w:val="en-US"/>
        </w:rPr>
        <w:t>Plymouth</w:t>
      </w:r>
      <w:r>
        <w:rPr>
          <w:lang w:val="en-US"/>
        </w:rPr>
        <w:t xml:space="preserve">, </w:t>
      </w:r>
      <w:r w:rsidRPr="0026765D">
        <w:rPr>
          <w:lang w:val="en-US"/>
        </w:rPr>
        <w:t>PL1 3DH</w:t>
      </w:r>
    </w:p>
    <w:p w14:paraId="6133D16E" w14:textId="77777777" w:rsidR="00F37816" w:rsidRPr="0026765D" w:rsidRDefault="00F37816" w:rsidP="00F37816">
      <w:pPr>
        <w:spacing w:line="480" w:lineRule="auto"/>
        <w:rPr>
          <w:lang w:val="en-US"/>
        </w:rPr>
      </w:pPr>
      <w:r w:rsidRPr="0026765D">
        <w:rPr>
          <w:vertAlign w:val="superscript"/>
          <w:lang w:val="en-US"/>
        </w:rPr>
        <w:t xml:space="preserve">c </w:t>
      </w:r>
      <w:r w:rsidRPr="0026765D">
        <w:rPr>
          <w:bCs/>
          <w:lang w:val="en-AU"/>
        </w:rPr>
        <w:t>Environme</w:t>
      </w:r>
      <w:r>
        <w:rPr>
          <w:bCs/>
          <w:lang w:val="en-AU"/>
        </w:rPr>
        <w:t>nt and Sustainability Institute</w:t>
      </w:r>
      <w:r>
        <w:rPr>
          <w:b/>
          <w:bCs/>
          <w:lang w:val="en-AU"/>
        </w:rPr>
        <w:t xml:space="preserve">, </w:t>
      </w:r>
      <w:r w:rsidRPr="0026765D">
        <w:rPr>
          <w:lang w:val="en-AU"/>
        </w:rPr>
        <w:t>University of Exeter, Penryn Campus</w:t>
      </w:r>
      <w:r>
        <w:rPr>
          <w:lang w:val="en-AU"/>
        </w:rPr>
        <w:t xml:space="preserve">, Penryn, Cornwall, United Kingdom, TR10 9FE </w:t>
      </w:r>
    </w:p>
    <w:p w14:paraId="1BF65DDA" w14:textId="77777777" w:rsidR="00F37816" w:rsidRPr="00BC2ED7" w:rsidRDefault="00F37816" w:rsidP="00F37816">
      <w:pPr>
        <w:spacing w:line="480" w:lineRule="auto"/>
        <w:rPr>
          <w:lang w:val="en-US"/>
        </w:rPr>
      </w:pPr>
      <w:r w:rsidRPr="0026765D">
        <w:rPr>
          <w:vertAlign w:val="superscript"/>
          <w:lang w:val="en-US"/>
        </w:rPr>
        <w:t xml:space="preserve">d </w:t>
      </w:r>
      <w:r w:rsidRPr="0026765D">
        <w:rPr>
          <w:lang w:val="en-US"/>
        </w:rPr>
        <w:t xml:space="preserve">Department of Chemical Engineering, University of Bath, </w:t>
      </w:r>
      <w:r>
        <w:rPr>
          <w:lang w:val="en-US"/>
        </w:rPr>
        <w:t xml:space="preserve">Claverton Down, Bath, </w:t>
      </w:r>
      <w:r w:rsidRPr="0026765D">
        <w:rPr>
          <w:lang w:val="en-US"/>
        </w:rPr>
        <w:t>United Kingdom, BA2 7AY.</w:t>
      </w:r>
    </w:p>
    <w:p w14:paraId="557B3575" w14:textId="77777777" w:rsidR="00F37816" w:rsidRPr="00BC2ED7" w:rsidRDefault="00F37816" w:rsidP="00F37816">
      <w:pPr>
        <w:spacing w:line="480" w:lineRule="auto"/>
        <w:rPr>
          <w:lang w:val="en-US"/>
        </w:rPr>
      </w:pPr>
      <w:r w:rsidRPr="00BC2ED7">
        <w:rPr>
          <w:vertAlign w:val="superscript"/>
          <w:lang w:val="en-US"/>
        </w:rPr>
        <w:t>e</w:t>
      </w:r>
      <w:r>
        <w:rPr>
          <w:lang w:val="en-US"/>
        </w:rPr>
        <w:t xml:space="preserve"> </w:t>
      </w:r>
      <w:r w:rsidRPr="00BC2ED7">
        <w:rPr>
          <w:lang w:val="en-US"/>
        </w:rPr>
        <w:t>Cardiff School of Engineering</w:t>
      </w:r>
      <w:r>
        <w:rPr>
          <w:lang w:val="en-US"/>
        </w:rPr>
        <w:t xml:space="preserve">, </w:t>
      </w:r>
      <w:r w:rsidRPr="00BC2ED7">
        <w:rPr>
          <w:lang w:val="en-US"/>
        </w:rPr>
        <w:t>Cardiff University</w:t>
      </w:r>
      <w:r>
        <w:rPr>
          <w:lang w:val="en-US"/>
        </w:rPr>
        <w:t xml:space="preserve">, </w:t>
      </w:r>
      <w:r w:rsidRPr="00BC2ED7">
        <w:rPr>
          <w:lang w:val="en-US"/>
        </w:rPr>
        <w:t>Queen's Buildings</w:t>
      </w:r>
      <w:r>
        <w:rPr>
          <w:lang w:val="en-US"/>
        </w:rPr>
        <w:t xml:space="preserve">, </w:t>
      </w:r>
      <w:r w:rsidRPr="00BC2ED7">
        <w:rPr>
          <w:lang w:val="en-US"/>
        </w:rPr>
        <w:t>The Parade</w:t>
      </w:r>
      <w:r>
        <w:rPr>
          <w:lang w:val="en-US"/>
        </w:rPr>
        <w:t xml:space="preserve">, Cardiff, Wales, United Kingdom, </w:t>
      </w:r>
      <w:r w:rsidRPr="00BC2ED7">
        <w:rPr>
          <w:lang w:val="en-US"/>
        </w:rPr>
        <w:t>CF24 3AA</w:t>
      </w:r>
    </w:p>
    <w:p w14:paraId="3E4DF78B" w14:textId="77777777" w:rsidR="0026765D" w:rsidRDefault="0026765D" w:rsidP="00B50382">
      <w:pPr>
        <w:spacing w:line="480" w:lineRule="auto"/>
        <w:rPr>
          <w:lang w:val="en-US"/>
        </w:rPr>
      </w:pPr>
    </w:p>
    <w:p w14:paraId="501E61B1" w14:textId="77777777" w:rsidR="0026765D" w:rsidRDefault="0026765D" w:rsidP="00B50382">
      <w:pPr>
        <w:spacing w:line="480" w:lineRule="auto"/>
        <w:rPr>
          <w:lang w:val="en-US"/>
        </w:rPr>
      </w:pPr>
      <w:r>
        <w:rPr>
          <w:lang w:val="en-US"/>
        </w:rPr>
        <w:t xml:space="preserve">Email: </w:t>
      </w:r>
      <w:hyperlink r:id="rId8" w:history="1">
        <w:r w:rsidRPr="00014CD3">
          <w:rPr>
            <w:rStyle w:val="Hyperlink"/>
            <w:lang w:val="en-US"/>
          </w:rPr>
          <w:t>C.chuck@bath.ac.uk</w:t>
        </w:r>
      </w:hyperlink>
      <w:r>
        <w:rPr>
          <w:lang w:val="en-US"/>
        </w:rPr>
        <w:t>, Tel: +44(0)1225 383537</w:t>
      </w:r>
    </w:p>
    <w:p w14:paraId="3896A71B" w14:textId="77777777" w:rsidR="0026765D" w:rsidRDefault="0026765D" w:rsidP="00B50382">
      <w:pPr>
        <w:spacing w:line="480" w:lineRule="auto"/>
        <w:rPr>
          <w:vertAlign w:val="superscript"/>
          <w:lang w:val="en-US"/>
        </w:rPr>
      </w:pPr>
    </w:p>
    <w:p w14:paraId="06958E8E" w14:textId="77777777" w:rsidR="0026765D" w:rsidRPr="0026765D" w:rsidRDefault="000A53A8" w:rsidP="00B50382">
      <w:pPr>
        <w:spacing w:line="480" w:lineRule="auto"/>
        <w:rPr>
          <w:b/>
        </w:rPr>
      </w:pPr>
      <w:r>
        <w:rPr>
          <w:b/>
        </w:rPr>
        <w:t xml:space="preserve">Keywords: </w:t>
      </w:r>
      <w:r w:rsidR="007D7B77" w:rsidRPr="007D7B77">
        <w:t>Acid mine drainage, advanced biofuel, microalgae, hydrothermal liquefaction</w:t>
      </w:r>
    </w:p>
    <w:p w14:paraId="328A8599" w14:textId="77777777" w:rsidR="0026765D" w:rsidRDefault="0026765D" w:rsidP="00B50382">
      <w:pPr>
        <w:spacing w:line="480" w:lineRule="auto"/>
        <w:rPr>
          <w:b/>
        </w:rPr>
      </w:pPr>
      <w:r>
        <w:rPr>
          <w:b/>
        </w:rPr>
        <w:br w:type="page"/>
      </w:r>
    </w:p>
    <w:p w14:paraId="07341846" w14:textId="77777777" w:rsidR="0026765D" w:rsidRPr="0026765D" w:rsidRDefault="0026765D" w:rsidP="007D7B77">
      <w:pPr>
        <w:spacing w:after="0" w:line="432" w:lineRule="auto"/>
        <w:rPr>
          <w:sz w:val="28"/>
        </w:rPr>
      </w:pPr>
      <w:r w:rsidRPr="0026765D">
        <w:rPr>
          <w:b/>
          <w:sz w:val="28"/>
        </w:rPr>
        <w:lastRenderedPageBreak/>
        <w:t>Abstract</w:t>
      </w:r>
      <w:r w:rsidRPr="0026765D">
        <w:rPr>
          <w:sz w:val="28"/>
        </w:rPr>
        <w:t xml:space="preserve"> </w:t>
      </w:r>
    </w:p>
    <w:p w14:paraId="6BCAA1E3" w14:textId="7B1E592B" w:rsidR="00593D50" w:rsidRPr="00593D50" w:rsidRDefault="00593D50" w:rsidP="007D7B77">
      <w:pPr>
        <w:spacing w:line="432" w:lineRule="auto"/>
        <w:jc w:val="both"/>
      </w:pPr>
      <w:r w:rsidRPr="00823FA3">
        <w:t>The hydrothermal liquefaction</w:t>
      </w:r>
      <w:r w:rsidR="00412ED5">
        <w:t xml:space="preserve"> (HTL)</w:t>
      </w:r>
      <w:r w:rsidRPr="00823FA3">
        <w:t xml:space="preserve"> of algal biomass</w:t>
      </w:r>
      <w:r w:rsidR="00FF791A">
        <w:t xml:space="preserve"> </w:t>
      </w:r>
      <w:r w:rsidRPr="00823FA3">
        <w:t xml:space="preserve">is a promising route to viable </w:t>
      </w:r>
      <w:r w:rsidR="00952019">
        <w:t>second</w:t>
      </w:r>
      <w:r w:rsidR="00FF791A">
        <w:t xml:space="preserve"> generation biofuels.</w:t>
      </w:r>
      <w:r w:rsidR="00952019">
        <w:t xml:space="preserve"> </w:t>
      </w:r>
      <w:r>
        <w:t xml:space="preserve">In this investigation </w:t>
      </w:r>
      <w:r w:rsidRPr="00823FA3">
        <w:t xml:space="preserve">HTL </w:t>
      </w:r>
      <w:r>
        <w:t xml:space="preserve">was assessed for the </w:t>
      </w:r>
      <w:r w:rsidRPr="00823FA3">
        <w:t xml:space="preserve">valorisation </w:t>
      </w:r>
      <w:r>
        <w:t>of algae used in the</w:t>
      </w:r>
      <w:r w:rsidRPr="00823FA3">
        <w:t xml:space="preserve"> remediation of acid mine drainage (AMD). </w:t>
      </w:r>
      <w:r>
        <w:t xml:space="preserve">Initially the HTL process was </w:t>
      </w:r>
      <w:r w:rsidR="00FC4D5F">
        <w:t>evaluated</w:t>
      </w:r>
      <w:r>
        <w:t xml:space="preserve"> using </w:t>
      </w:r>
      <w:r w:rsidR="00F37816" w:rsidRPr="0046178F">
        <w:rPr>
          <w:i/>
        </w:rPr>
        <w:t>Arthrospira platensis</w:t>
      </w:r>
      <w:r w:rsidR="00F37816">
        <w:rPr>
          <w:i/>
        </w:rPr>
        <w:t xml:space="preserve"> </w:t>
      </w:r>
      <w:r w:rsidR="00D57E33">
        <w:t xml:space="preserve">(Spirulina) </w:t>
      </w:r>
      <w:r>
        <w:t xml:space="preserve">with additional metal sulfates to simulate metal remediation. </w:t>
      </w:r>
      <w:r w:rsidR="00235EFC">
        <w:t>Optimised</w:t>
      </w:r>
      <w:r>
        <w:t xml:space="preserve"> conditions were then used to process </w:t>
      </w:r>
      <w:r w:rsidR="00235EFC">
        <w:t xml:space="preserve">a natural </w:t>
      </w:r>
      <w:r>
        <w:t xml:space="preserve">algal community (predominantly </w:t>
      </w:r>
      <w:r w:rsidR="00C14A16">
        <w:rPr>
          <w:i/>
        </w:rPr>
        <w:t>Chlamydomonas</w:t>
      </w:r>
      <w:r w:rsidR="00C14A16" w:rsidRPr="00823FA3">
        <w:rPr>
          <w:i/>
        </w:rPr>
        <w:t xml:space="preserve"> sp.</w:t>
      </w:r>
      <w:r w:rsidRPr="00823FA3">
        <w:t>)</w:t>
      </w:r>
      <w:r w:rsidR="00235EFC">
        <w:t xml:space="preserve"> cultivated under</w:t>
      </w:r>
      <w:r w:rsidR="00952019">
        <w:t xml:space="preserve"> two scenarios</w:t>
      </w:r>
      <w:r w:rsidR="00235EFC">
        <w:t xml:space="preserve">: </w:t>
      </w:r>
      <w:r>
        <w:t xml:space="preserve">high uptake and low uptake of metals from </w:t>
      </w:r>
      <w:r w:rsidR="00952019">
        <w:t>AMD</w:t>
      </w:r>
      <w:r>
        <w:t xml:space="preserve">. </w:t>
      </w:r>
      <w:r w:rsidR="00FF791A">
        <w:t>H</w:t>
      </w:r>
      <w:r w:rsidRPr="00823FA3">
        <w:t xml:space="preserve">igh </w:t>
      </w:r>
      <w:r w:rsidR="00FF791A">
        <w:t xml:space="preserve">metal </w:t>
      </w:r>
      <w:r w:rsidR="004C34F9">
        <w:t>concentrations</w:t>
      </w:r>
      <w:r w:rsidRPr="00823FA3">
        <w:t xml:space="preserve"> </w:t>
      </w:r>
      <w:r w:rsidR="00FF791A">
        <w:t>appear</w:t>
      </w:r>
      <w:r w:rsidRPr="00823FA3">
        <w:t xml:space="preserve"> to catalyse </w:t>
      </w:r>
      <w:r w:rsidR="00C40524">
        <w:t xml:space="preserve">the </w:t>
      </w:r>
      <w:r w:rsidRPr="00823FA3">
        <w:t xml:space="preserve">conversion to bio-oil, and do not significantly affect the </w:t>
      </w:r>
      <w:r w:rsidR="00732323">
        <w:t xml:space="preserve">heteroatom content or </w:t>
      </w:r>
      <w:r w:rsidR="00E7405E">
        <w:t>higher heating value</w:t>
      </w:r>
      <w:r w:rsidRPr="00823FA3">
        <w:t xml:space="preserve"> of the bio-oil produced. </w:t>
      </w:r>
      <w:r w:rsidR="00E7405E">
        <w:t>The associated</w:t>
      </w:r>
      <w:r w:rsidR="00DD699A">
        <w:t xml:space="preserve"> m</w:t>
      </w:r>
      <w:r w:rsidRPr="00823FA3">
        <w:t xml:space="preserve">etals were found to partition almost exclusively into the solid </w:t>
      </w:r>
      <w:r w:rsidR="00DD699A">
        <w:t>residu</w:t>
      </w:r>
      <w:r w:rsidRPr="00823FA3">
        <w:t xml:space="preserve">e, </w:t>
      </w:r>
      <w:r w:rsidR="00235EFC" w:rsidRPr="00823FA3">
        <w:t>favourabl</w:t>
      </w:r>
      <w:r w:rsidR="00235EFC">
        <w:t>e</w:t>
      </w:r>
      <w:r w:rsidR="00235EFC" w:rsidRPr="00823FA3">
        <w:t xml:space="preserve"> </w:t>
      </w:r>
      <w:r w:rsidR="00C40524">
        <w:t>for potential metal recovery</w:t>
      </w:r>
      <w:r w:rsidR="00FF791A">
        <w:t xml:space="preserve">. </w:t>
      </w:r>
      <w:r w:rsidRPr="00823FA3">
        <w:t xml:space="preserve">High metal loadings also caused partitioning of phosphates from the aqueous phase to the solid phase, potentially compromising attempts to recycle process water as a growth supplement. </w:t>
      </w:r>
      <w:r>
        <w:t xml:space="preserve">HTL was therefore found to be a suitable method of processing </w:t>
      </w:r>
      <w:r w:rsidR="00473010">
        <w:t>al</w:t>
      </w:r>
      <w:r w:rsidR="00693352">
        <w:t>g</w:t>
      </w:r>
      <w:r w:rsidR="00473010">
        <w:t>a</w:t>
      </w:r>
      <w:r w:rsidR="00693352">
        <w:t xml:space="preserve">e used in </w:t>
      </w:r>
      <w:r w:rsidR="00E7405E">
        <w:t xml:space="preserve">AMD </w:t>
      </w:r>
      <w:r w:rsidR="00693352">
        <w:t>remediation</w:t>
      </w:r>
      <w:r>
        <w:t>,</w:t>
      </w:r>
      <w:r w:rsidR="00693352">
        <w:t xml:space="preserve"> produci</w:t>
      </w:r>
      <w:r w:rsidR="00473010">
        <w:t>ng a crude oil suitable for upg</w:t>
      </w:r>
      <w:r w:rsidR="00693352">
        <w:t>rading into hydrocarbon fuels, an aqueous and gas</w:t>
      </w:r>
      <w:r w:rsidR="00473010">
        <w:t xml:space="preserve"> stream suitable for supplement</w:t>
      </w:r>
      <w:r w:rsidR="00693352">
        <w:t xml:space="preserve">ing the algal growth and the partitioning of </w:t>
      </w:r>
      <w:r w:rsidR="00235EFC">
        <w:t xml:space="preserve">most </w:t>
      </w:r>
      <w:r w:rsidR="00693352">
        <w:t xml:space="preserve">contaminant metals to the </w:t>
      </w:r>
      <w:r w:rsidR="005651AD">
        <w:t xml:space="preserve">solid residue </w:t>
      </w:r>
      <w:r w:rsidR="006B695D">
        <w:t xml:space="preserve">where they would be readily amenable for recovery </w:t>
      </w:r>
      <w:r w:rsidR="00235EFC">
        <w:t>and/</w:t>
      </w:r>
      <w:r w:rsidR="006B695D">
        <w:t>or</w:t>
      </w:r>
      <w:r w:rsidR="00412ED5">
        <w:t xml:space="preserve"> disposal</w:t>
      </w:r>
      <w:r w:rsidR="00693352">
        <w:t xml:space="preserve">. </w:t>
      </w:r>
    </w:p>
    <w:p w14:paraId="57B17561" w14:textId="77777777" w:rsidR="0026765D" w:rsidRDefault="0026765D" w:rsidP="007D7B77">
      <w:pPr>
        <w:spacing w:line="360" w:lineRule="auto"/>
        <w:rPr>
          <w:b/>
        </w:rPr>
      </w:pPr>
      <w:r>
        <w:rPr>
          <w:b/>
        </w:rPr>
        <w:br w:type="page"/>
      </w:r>
    </w:p>
    <w:p w14:paraId="4DF0E414" w14:textId="77777777" w:rsidR="00775F6B" w:rsidRPr="0026765D" w:rsidRDefault="0026765D" w:rsidP="00B50382">
      <w:pPr>
        <w:spacing w:line="480" w:lineRule="auto"/>
        <w:rPr>
          <w:b/>
          <w:sz w:val="28"/>
        </w:rPr>
      </w:pPr>
      <w:r w:rsidRPr="0026765D">
        <w:rPr>
          <w:b/>
          <w:sz w:val="28"/>
        </w:rPr>
        <w:lastRenderedPageBreak/>
        <w:t xml:space="preserve">1. Introduction </w:t>
      </w:r>
    </w:p>
    <w:p w14:paraId="2D6AA4F0" w14:textId="4B9CF4A5" w:rsidR="009C69B1" w:rsidRDefault="00566E2C" w:rsidP="007949B6">
      <w:pPr>
        <w:shd w:val="clear" w:color="auto" w:fill="FFFFFF"/>
        <w:spacing w:after="0" w:line="480" w:lineRule="auto"/>
        <w:jc w:val="both"/>
      </w:pPr>
      <w:r>
        <w:t xml:space="preserve">Declining </w:t>
      </w:r>
      <w:r w:rsidR="009C69B1">
        <w:t>water quality is an issue of increasing importance worldwide. In particular, water contamination by heavy metals from domestic or industrial sources can have a significant impact on the biodiversity of aquatic ecosystems</w:t>
      </w:r>
      <w:r w:rsidR="00E7405E">
        <w:t xml:space="preserve"> and human health</w:t>
      </w:r>
      <w:r w:rsidR="00FD7D2F">
        <w:t xml:space="preserve"> </w:t>
      </w:r>
      <w:r w:rsidR="00FD7D2F">
        <w:fldChar w:fldCharType="begin"/>
      </w:r>
      <w:r w:rsidR="00E7405E">
        <w:instrText xml:space="preserve"> ADDIN EN.CITE &lt;EndNote&gt;&lt;Cite&gt;&lt;Author&gt;Renuka&lt;/Author&gt;&lt;Year&gt;2015&lt;/Year&gt;&lt;RecNum&gt;962&lt;/RecNum&gt;&lt;DisplayText&gt;[1]&lt;/DisplayText&gt;&lt;record&gt;&lt;rec-number&gt;962&lt;/rec-number&gt;&lt;foreign-keys&gt;&lt;key app="EN" db-id="fa5pvx0a352spiedf5tvff5409zrwa0zxvsd"&gt;962&lt;/key&gt;&lt;/foreign-keys&gt;&lt;ref-type name="Journal Article"&gt;17&lt;/ref-type&gt;&lt;contributors&gt;&lt;authors&gt;&lt;author&gt;Renuka, N.&lt;/author&gt;&lt;author&gt;Sood, A.&lt;/author&gt;&lt;author&gt;Prasanna, R.&lt;/author&gt;&lt;author&gt;Ahluwalia, A. S.&lt;/author&gt;&lt;/authors&gt;&lt;/contributors&gt;&lt;titles&gt;&lt;title&gt;Phycoremediation of wastewaters: a synergistic approach using microalgae for bioremediation and biomass generation&lt;/title&gt;&lt;secondary-title&gt;International Journal of Environmental Science and Technology&lt;/secondary-title&gt;&lt;alt-title&gt;Int. J. Environ. Sci. Technol.&lt;/alt-title&gt;&lt;/titles&gt;&lt;periodical&gt;&lt;full-title&gt;International Journal of Environmental Science and Technology&lt;/full-title&gt;&lt;abbr-1&gt;Int. J. Environ. Sci. Technol.&lt;/abbr-1&gt;&lt;/periodical&gt;&lt;alt-periodical&gt;&lt;full-title&gt;International Journal of Environmental Science and Technology&lt;/full-title&gt;&lt;abbr-1&gt;Int. J. Environ. Sci. Technol.&lt;/abbr-1&gt;&lt;/alt-periodical&gt;&lt;pages&gt;1443-1460&lt;/pages&gt;&lt;volume&gt;12&lt;/volume&gt;&lt;number&gt;4&lt;/number&gt;&lt;keywords&gt;&lt;keyword&gt;Wastewater&lt;/keyword&gt;&lt;keyword&gt;Eutrophication&lt;/keyword&gt;&lt;keyword&gt;Microalgal diversity&lt;/keyword&gt;&lt;keyword&gt;Consortia&lt;/keyword&gt;&lt;keyword&gt;Nutrient removal&lt;/keyword&gt;&lt;keyword&gt;Biomass production&lt;/keyword&gt;&lt;/keywords&gt;&lt;dates&gt;&lt;year&gt;2015&lt;/year&gt;&lt;pub-dates&gt;&lt;date&gt;2015/04/01&lt;/date&gt;&lt;/pub-dates&gt;&lt;/dates&gt;&lt;publisher&gt;Springer Berlin Heidelberg&lt;/publisher&gt;&lt;isbn&gt;1735-1472&lt;/isbn&gt;&lt;urls&gt;&lt;related-urls&gt;&lt;url&gt;http://dx.doi.org/10.1007/s13762-014-0700-2&lt;/url&gt;&lt;/related-urls&gt;&lt;/urls&gt;&lt;electronic-resource-num&gt;10.1007/s13762-014-0700-2&lt;/electronic-resource-num&gt;&lt;language&gt;English&lt;/language&gt;&lt;/record&gt;&lt;/Cite&gt;&lt;/EndNote&gt;</w:instrText>
      </w:r>
      <w:r w:rsidR="00FD7D2F">
        <w:fldChar w:fldCharType="separate"/>
      </w:r>
      <w:r w:rsidR="00FD7D2F">
        <w:rPr>
          <w:noProof/>
        </w:rPr>
        <w:t>[1]</w:t>
      </w:r>
      <w:r w:rsidR="00FD7D2F">
        <w:fldChar w:fldCharType="end"/>
      </w:r>
      <w:r w:rsidR="00FD7D2F">
        <w:t>.</w:t>
      </w:r>
      <w:r w:rsidR="009C69B1">
        <w:t xml:space="preserve"> </w:t>
      </w:r>
      <w:r w:rsidR="00EB79B7">
        <w:t>Mining operations have long been recognised as one of the major anthropogenic sources of metals to the aquatic ecosystem</w:t>
      </w:r>
      <w:r w:rsidR="00F04C81">
        <w:t xml:space="preserve"> </w:t>
      </w:r>
      <w:r w:rsidR="00D87A0A">
        <w:fldChar w:fldCharType="begin"/>
      </w:r>
      <w:r w:rsidR="00E7405E">
        <w:instrText xml:space="preserve"> ADDIN EN.CITE &lt;EndNote&gt;&lt;Cite&gt;&lt;Author&gt;Nriagu&lt;/Author&gt;&lt;Year&gt;1988&lt;/Year&gt;&lt;RecNum&gt;989&lt;/RecNum&gt;&lt;DisplayText&gt;[2]&lt;/DisplayText&gt;&lt;record&gt;&lt;rec-number&gt;989&lt;/rec-number&gt;&lt;foreign-keys&gt;&lt;key app="EN" db-id="fa5pvx0a352spiedf5tvff5409zrwa0zxvsd"&gt;989&lt;/key&gt;&lt;/foreign-keys&gt;&lt;ref-type name="Journal Article"&gt;17&lt;/ref-type&gt;&lt;contributors&gt;&lt;authors&gt;&lt;author&gt;Nriagu, Jerome O.&lt;/author&gt;&lt;author&gt;Pacyna, Jozef M.&lt;/author&gt;&lt;/authors&gt;&lt;/contributors&gt;&lt;titles&gt;&lt;title&gt;Quantitative assessment of worldwide contamination of air, water and soils by trace metals&lt;/title&gt;&lt;secondary-title&gt;Nature&lt;/secondary-title&gt;&lt;/titles&gt;&lt;periodical&gt;&lt;full-title&gt;Nature&lt;/full-title&gt;&lt;/periodical&gt;&lt;pages&gt;134-139&lt;/pages&gt;&lt;volume&gt;333&lt;/volume&gt;&lt;number&gt;6169&lt;/number&gt;&lt;dates&gt;&lt;year&gt;1988&lt;/year&gt;&lt;/dates&gt;&lt;work-type&gt;10.1038/333134a0&lt;/work-type&gt;&lt;urls&gt;&lt;related-urls&gt;&lt;url&gt;http://dx.doi.org/10.1038/333134a0&lt;/url&gt;&lt;/related-urls&gt;&lt;/urls&gt;&lt;/record&gt;&lt;/Cite&gt;&lt;/EndNote&gt;</w:instrText>
      </w:r>
      <w:r w:rsidR="00D87A0A">
        <w:fldChar w:fldCharType="separate"/>
      </w:r>
      <w:r w:rsidR="00D87A0A">
        <w:rPr>
          <w:noProof/>
        </w:rPr>
        <w:t>[2]</w:t>
      </w:r>
      <w:r w:rsidR="00D87A0A">
        <w:fldChar w:fldCharType="end"/>
      </w:r>
      <w:r w:rsidR="00447236">
        <w:t>;</w:t>
      </w:r>
      <w:r w:rsidR="00537F80">
        <w:t xml:space="preserve"> </w:t>
      </w:r>
      <w:r w:rsidR="009C69B1">
        <w:t>acid mine drainage (AMD)</w:t>
      </w:r>
      <w:r w:rsidR="00537F80">
        <w:t xml:space="preserve"> in particular causes persistent and severe pollution and</w:t>
      </w:r>
      <w:r w:rsidR="009C69B1">
        <w:t xml:space="preserve"> affects most countries with historic or current mining industries</w:t>
      </w:r>
      <w:r w:rsidR="007D7B77">
        <w:t xml:space="preserve"> </w:t>
      </w:r>
      <w:r w:rsidR="00FD7D2F">
        <w:fldChar w:fldCharType="begin"/>
      </w:r>
      <w:r w:rsidR="00E7405E">
        <w:instrText xml:space="preserve"> ADDIN EN.CITE &lt;EndNote&gt;&lt;Cite&gt;&lt;Author&gt;Johnson&lt;/Author&gt;&lt;Year&gt;2005&lt;/Year&gt;&lt;RecNum&gt;963&lt;/RecNum&gt;&lt;DisplayText&gt;[3]&lt;/DisplayText&gt;&lt;record&gt;&lt;rec-number&gt;963&lt;/rec-number&gt;&lt;foreign-keys&gt;&lt;key app="EN" db-id="fa5pvx0a352spiedf5tvff5409zrwa0zxvsd"&gt;963&lt;/key&gt;&lt;/foreign-keys&gt;&lt;ref-type name="Journal Article"&gt;17&lt;/ref-type&gt;&lt;contributors&gt;&lt;authors&gt;&lt;author&gt;Johnson, D Barrie&lt;/author&gt;&lt;author&gt;Hallberg, Kevin B&lt;/author&gt;&lt;/authors&gt;&lt;/contributors&gt;&lt;titles&gt;&lt;title&gt;Acid mine drainage remediation options: a review&lt;/title&gt;&lt;secondary-title&gt;Science of the total environment&lt;/secondary-title&gt;&lt;/titles&gt;&lt;periodical&gt;&lt;full-title&gt;Science of the total environment&lt;/full-title&gt;&lt;/periodical&gt;&lt;pages&gt;3-14&lt;/pages&gt;&lt;volume&gt;338&lt;/volume&gt;&lt;number&gt;1&lt;/number&gt;&lt;dates&gt;&lt;year&gt;2005&lt;/year&gt;&lt;/dates&gt;&lt;isbn&gt;0048-9697&lt;/isbn&gt;&lt;urls&gt;&lt;/urls&gt;&lt;/record&gt;&lt;/Cite&gt;&lt;/EndNote&gt;</w:instrText>
      </w:r>
      <w:r w:rsidR="00FD7D2F">
        <w:fldChar w:fldCharType="separate"/>
      </w:r>
      <w:r w:rsidR="00D87A0A">
        <w:rPr>
          <w:noProof/>
        </w:rPr>
        <w:t>[3]</w:t>
      </w:r>
      <w:r w:rsidR="00FD7D2F">
        <w:fldChar w:fldCharType="end"/>
      </w:r>
      <w:r w:rsidR="007D7B77">
        <w:t>.</w:t>
      </w:r>
      <w:r w:rsidR="009C69B1">
        <w:t xml:space="preserve"> Although chemical compositions and pH vary from site to site, AMD tends to contain elevated concentrations of dissolved metals such as Fe, Al, </w:t>
      </w:r>
      <w:r w:rsidR="00EA2E45">
        <w:t>Z</w:t>
      </w:r>
      <w:r w:rsidR="009C69B1">
        <w:t>n</w:t>
      </w:r>
      <w:r w:rsidR="00A446CA">
        <w:t>,</w:t>
      </w:r>
      <w:r w:rsidR="00EA2E45">
        <w:t xml:space="preserve"> </w:t>
      </w:r>
      <w:r w:rsidR="00167F6D">
        <w:t xml:space="preserve">Sn </w:t>
      </w:r>
      <w:r w:rsidR="00A446CA">
        <w:t xml:space="preserve">and </w:t>
      </w:r>
      <w:r w:rsidR="009C69B1">
        <w:t>Pb</w:t>
      </w:r>
      <w:r w:rsidR="007D7B77">
        <w:t xml:space="preserve"> </w:t>
      </w:r>
      <w:r w:rsidR="00FD7D2F">
        <w:fldChar w:fldCharType="begin"/>
      </w:r>
      <w:r w:rsidR="00E7405E">
        <w:instrText xml:space="preserve"> ADDIN EN.CITE &lt;EndNote&gt;&lt;Cite&gt;&lt;Author&gt;Johnson&lt;/Author&gt;&lt;Year&gt;2005&lt;/Year&gt;&lt;RecNum&gt;963&lt;/RecNum&gt;&lt;DisplayText&gt;[3, 4]&lt;/DisplayText&gt;&lt;record&gt;&lt;rec-number&gt;963&lt;/rec-number&gt;&lt;foreign-keys&gt;&lt;key app="EN" db-id="fa5pvx0a352spiedf5tvff5409zrwa0zxvsd"&gt;963&lt;/key&gt;&lt;/foreign-keys&gt;&lt;ref-type name="Journal Article"&gt;17&lt;/ref-type&gt;&lt;contributors&gt;&lt;authors&gt;&lt;author&gt;Johnson, D Barrie&lt;/author&gt;&lt;author&gt;Hallberg, Kevin B&lt;/author&gt;&lt;/authors&gt;&lt;/contributors&gt;&lt;titles&gt;&lt;title&gt;Acid mine drainage remediation options: a review&lt;/title&gt;&lt;secondary-title&gt;Science of the total environment&lt;/secondary-title&gt;&lt;/titles&gt;&lt;periodical&gt;&lt;full-title&gt;Science of the total environment&lt;/full-title&gt;&lt;/periodical&gt;&lt;pages&gt;3-14&lt;/pages&gt;&lt;volume&gt;338&lt;/volume&gt;&lt;number&gt;1&lt;/number&gt;&lt;dates&gt;&lt;year&gt;2005&lt;/year&gt;&lt;/dates&gt;&lt;isbn&gt;0048-9697&lt;/isbn&gt;&lt;urls&gt;&lt;/urls&gt;&lt;/record&gt;&lt;/Cite&gt;&lt;Cite&gt;&lt;Author&gt;Akcil&lt;/Author&gt;&lt;Year&gt;2006&lt;/Year&gt;&lt;RecNum&gt;964&lt;/RecNum&gt;&lt;record&gt;&lt;rec-number&gt;964&lt;/rec-number&gt;&lt;foreign-keys&gt;&lt;key app="EN" db-id="fa5pvx0a352spiedf5tvff5409zrwa0zxvsd"&gt;964&lt;/key&gt;&lt;/foreign-keys&gt;&lt;ref-type name="Journal Article"&gt;17&lt;/ref-type&gt;&lt;contributors&gt;&lt;authors&gt;&lt;author&gt;Akcil, Ata&lt;/author&gt;&lt;author&gt;Koldas, Soner&lt;/author&gt;&lt;/authors&gt;&lt;/contributors&gt;&lt;titles&gt;&lt;title&gt;Acid Mine Drainage (AMD): causes, treatment and case studies&lt;/title&gt;&lt;secondary-title&gt;Journal of Cleaner Production&lt;/secondary-title&gt;&lt;/titles&gt;&lt;periodical&gt;&lt;full-title&gt;Journal of Cleaner Production&lt;/full-title&gt;&lt;/periodical&gt;&lt;pages&gt;1139-1145&lt;/pages&gt;&lt;volume&gt;14&lt;/volume&gt;&lt;number&gt;12&lt;/number&gt;&lt;dates&gt;&lt;year&gt;2006&lt;/year&gt;&lt;/dates&gt;&lt;isbn&gt;0959-6526&lt;/isbn&gt;&lt;urls&gt;&lt;/urls&gt;&lt;/record&gt;&lt;/Cite&gt;&lt;/EndNote&gt;</w:instrText>
      </w:r>
      <w:r w:rsidR="00FD7D2F">
        <w:fldChar w:fldCharType="separate"/>
      </w:r>
      <w:r w:rsidR="00D87A0A">
        <w:rPr>
          <w:noProof/>
        </w:rPr>
        <w:t>[3, 4]</w:t>
      </w:r>
      <w:r w:rsidR="00FD7D2F">
        <w:fldChar w:fldCharType="end"/>
      </w:r>
      <w:r w:rsidR="00FD7D2F">
        <w:t>.</w:t>
      </w:r>
      <w:r w:rsidR="00E7405E">
        <w:t xml:space="preserve"> </w:t>
      </w:r>
      <w:r w:rsidR="00F46B31">
        <w:t xml:space="preserve">Because of the </w:t>
      </w:r>
      <w:r w:rsidR="00F04C81">
        <w:t>longevity</w:t>
      </w:r>
      <w:r w:rsidR="00F46B31">
        <w:t xml:space="preserve"> of </w:t>
      </w:r>
      <w:r w:rsidR="009C69B1">
        <w:t>AMD</w:t>
      </w:r>
      <w:r w:rsidR="00F46B31">
        <w:t xml:space="preserve"> (many mines in Europe continue to release metals centuries after closure</w:t>
      </w:r>
      <w:r w:rsidR="00E7405E">
        <w:t xml:space="preserve">) </w:t>
      </w:r>
      <w:r w:rsidR="00E7405E">
        <w:fldChar w:fldCharType="begin"/>
      </w:r>
      <w:r w:rsidR="00E7405E">
        <w:instrText xml:space="preserve"> ADDIN EN.CITE &lt;EndNote&gt;&lt;Cite&gt;&lt;Author&gt;Young&lt;/Author&gt;&lt;Year&gt;1997&lt;/Year&gt;&lt;RecNum&gt;993&lt;/RecNum&gt;&lt;DisplayText&gt;[5]&lt;/DisplayText&gt;&lt;record&gt;&lt;rec-number&gt;993&lt;/rec-number&gt;&lt;foreign-keys&gt;&lt;key app="EN" db-id="fa5pvx0a352spiedf5tvff5409zrwa0zxvsd"&gt;993&lt;/key&gt;&lt;/foreign-keys&gt;&lt;ref-type name="Journal Article"&gt;17&lt;/ref-type&gt;&lt;contributors&gt;&lt;authors&gt;&lt;author&gt;Young, P. L.&lt;/author&gt;&lt;/authors&gt;&lt;/contributors&gt;&lt;titles&gt;&lt;title&gt;The longevity of minewater pollution: a basis for decision-making&lt;/title&gt;&lt;secondary-title&gt;Science of the total environment&lt;/secondary-title&gt;&lt;/titles&gt;&lt;periodical&gt;&lt;full-title&gt;Science of the total environment&lt;/full-title&gt;&lt;/periodical&gt;&lt;pages&gt;457-466&lt;/pages&gt;&lt;volume&gt;194–195&lt;/volume&gt;&lt;number&gt;0&lt;/number&gt;&lt;keywords&gt;&lt;keyword&gt;Abandoned&lt;/keyword&gt;&lt;keyword&gt;Acidity&lt;/keyword&gt;&lt;keyword&gt;Coal&lt;/keyword&gt;&lt;keyword&gt;Discharge&lt;/keyword&gt;&lt;keyword&gt;Iron&lt;/keyword&gt;&lt;keyword&gt;Longevity&lt;/keyword&gt;&lt;keyword&gt;Mine&lt;/keyword&gt;&lt;keyword&gt;Minewater&lt;/keyword&gt;&lt;keyword&gt;Pollution&lt;/keyword&gt;&lt;keyword&gt;River&lt;/keyword&gt;&lt;keyword&gt;UK&lt;/keyword&gt;&lt;/keywords&gt;&lt;dates&gt;&lt;year&gt;1997&lt;/year&gt;&lt;/dates&gt;&lt;isbn&gt;0048-9697&lt;/isbn&gt;&lt;urls&gt;&lt;related-urls&gt;&lt;url&gt;http://www.sciencedirect.com/science/article/pii/S0048969796053831&lt;/url&gt;&lt;/related-urls&gt;&lt;/urls&gt;&lt;electronic-resource-num&gt;http://dx.doi.org/10.1016/S0048-9697(96)05383-1&lt;/electronic-resource-num&gt;&lt;/record&gt;&lt;/Cite&gt;&lt;/EndNote&gt;</w:instrText>
      </w:r>
      <w:r w:rsidR="00E7405E">
        <w:fldChar w:fldCharType="separate"/>
      </w:r>
      <w:r w:rsidR="00E7405E">
        <w:rPr>
          <w:noProof/>
        </w:rPr>
        <w:t>[5]</w:t>
      </w:r>
      <w:r w:rsidR="00E7405E">
        <w:fldChar w:fldCharType="end"/>
      </w:r>
      <w:r w:rsidR="00F46B31">
        <w:t>,</w:t>
      </w:r>
      <w:r w:rsidR="009C69B1">
        <w:t xml:space="preserve"> </w:t>
      </w:r>
      <w:r w:rsidR="00F46B31">
        <w:t>treatment present</w:t>
      </w:r>
      <w:r w:rsidR="007949B6">
        <w:t>s</w:t>
      </w:r>
      <w:r w:rsidR="00F46B31">
        <w:t xml:space="preserve"> substantial long</w:t>
      </w:r>
      <w:r w:rsidR="00F04C81">
        <w:t xml:space="preserve"> </w:t>
      </w:r>
      <w:r w:rsidR="00F46B31">
        <w:t>term liabilities for mine operators and for</w:t>
      </w:r>
      <w:r w:rsidR="009C69B1">
        <w:t xml:space="preserve"> </w:t>
      </w:r>
      <w:r w:rsidR="00F46B31">
        <w:t>governments that</w:t>
      </w:r>
      <w:r w:rsidR="001E2B45">
        <w:t xml:space="preserve"> inheri</w:t>
      </w:r>
      <w:r w:rsidR="00F46B31">
        <w:t>t orphan sites</w:t>
      </w:r>
      <w:r w:rsidR="00FD7D2F">
        <w:t xml:space="preserve">. </w:t>
      </w:r>
      <w:r w:rsidR="009C69B1">
        <w:t>As a result, there has been a growing interest in more efficient and cost-effective remediation technologies.</w:t>
      </w:r>
    </w:p>
    <w:p w14:paraId="6F466493" w14:textId="5C923AA2" w:rsidR="009C69B1" w:rsidRDefault="009C69B1" w:rsidP="00B50382">
      <w:pPr>
        <w:shd w:val="clear" w:color="auto" w:fill="FFFFFF"/>
        <w:spacing w:after="0" w:line="480" w:lineRule="auto"/>
        <w:ind w:firstLine="720"/>
        <w:jc w:val="both"/>
      </w:pPr>
      <w:r>
        <w:t xml:space="preserve">Microbial remediation of metal contaminated wastes has </w:t>
      </w:r>
      <w:r w:rsidR="00B82286">
        <w:t>gained increasing popularity</w:t>
      </w:r>
      <w:r>
        <w:t xml:space="preserve"> over the last few years</w:t>
      </w:r>
      <w:r w:rsidR="00FD7D2F">
        <w:t xml:space="preserve"> </w:t>
      </w:r>
      <w:r w:rsidR="00FD7D2F">
        <w:fldChar w:fldCharType="begin"/>
      </w:r>
      <w:r w:rsidR="00E7405E">
        <w:instrText xml:space="preserve"> ADDIN EN.CITE &lt;EndNote&gt;&lt;Cite&gt;&lt;Author&gt;Hashim&lt;/Author&gt;&lt;Year&gt;2011&lt;/Year&gt;&lt;RecNum&gt;965&lt;/RecNum&gt;&lt;DisplayText&gt;[6]&lt;/DisplayText&gt;&lt;record&gt;&lt;rec-number&gt;965&lt;/rec-number&gt;&lt;foreign-keys&gt;&lt;key app="EN" db-id="fa5pvx0a352spiedf5tvff5409zrwa0zxvsd"&gt;965&lt;/key&gt;&lt;/foreign-keys&gt;&lt;ref-type name="Journal Article"&gt;17&lt;/ref-type&gt;&lt;contributors&gt;&lt;authors&gt;&lt;author&gt;Hashim, M. A.&lt;/author&gt;&lt;author&gt;Mukhopadhyay, Soumyadeep&lt;/author&gt;&lt;author&gt;Sahu, Jaya Narayan&lt;/author&gt;&lt;author&gt;Sengupta, Bhaskar&lt;/author&gt;&lt;/authors&gt;&lt;/contributors&gt;&lt;titles&gt;&lt;title&gt;Remediation technologies for heavy metal contaminated groundwater&lt;/title&gt;&lt;secondary-title&gt;Journal of Environmental Management&lt;/secondary-title&gt;&lt;/titles&gt;&lt;periodical&gt;&lt;full-title&gt;Journal of Environmental Management&lt;/full-title&gt;&lt;/periodical&gt;&lt;pages&gt;2355-2388&lt;/pages&gt;&lt;volume&gt;92&lt;/volume&gt;&lt;number&gt;10&lt;/number&gt;&lt;keywords&gt;&lt;keyword&gt;Groundwater&lt;/keyword&gt;&lt;keyword&gt;Heavy metals&lt;/keyword&gt;&lt;keyword&gt;Remediation technology&lt;/keyword&gt;&lt;keyword&gt;Soil&lt;/keyword&gt;&lt;keyword&gt;Water treatment&lt;/keyword&gt;&lt;/keywords&gt;&lt;dates&gt;&lt;year&gt;2011&lt;/year&gt;&lt;/dates&gt;&lt;isbn&gt;0301-4797&lt;/isbn&gt;&lt;urls&gt;&lt;related-urls&gt;&lt;url&gt;http://www.sciencedirect.com/science/article/pii/S0301479711002064&lt;/url&gt;&lt;/related-urls&gt;&lt;/urls&gt;&lt;electronic-resource-num&gt;http://dx.doi.org/10.1016/j.jenvman.2011.06.009&lt;/electronic-resource-num&gt;&lt;/record&gt;&lt;/Cite&gt;&lt;/EndNote&gt;</w:instrText>
      </w:r>
      <w:r w:rsidR="00FD7D2F">
        <w:fldChar w:fldCharType="separate"/>
      </w:r>
      <w:r w:rsidR="00E7405E">
        <w:rPr>
          <w:noProof/>
        </w:rPr>
        <w:t>[6]</w:t>
      </w:r>
      <w:r w:rsidR="00FD7D2F">
        <w:fldChar w:fldCharType="end"/>
      </w:r>
      <w:r>
        <w:t>.</w:t>
      </w:r>
      <w:r w:rsidR="00FD7D2F">
        <w:t xml:space="preserve"> </w:t>
      </w:r>
      <w:r>
        <w:t>Algae in particular have been demonstrated to</w:t>
      </w:r>
      <w:r w:rsidR="00C31D8B">
        <w:t xml:space="preserve"> sequester metals via biosorption and intracellular uptake </w:t>
      </w:r>
      <w:r w:rsidR="00FD7D2F">
        <w:fldChar w:fldCharType="begin"/>
      </w:r>
      <w:r w:rsidR="00E7405E">
        <w:instrText xml:space="preserve"> ADDIN EN.CITE &lt;EndNote&gt;&lt;Cite&gt;&lt;Author&gt;Richmond&lt;/Author&gt;&lt;Year&gt;2013&lt;/Year&gt;&lt;RecNum&gt;966&lt;/RecNum&gt;&lt;DisplayText&gt;[7]&lt;/DisplayText&gt;&lt;record&gt;&lt;rec-number&gt;966&lt;/rec-number&gt;&lt;foreign-keys&gt;&lt;key app="EN" db-id="fa5pvx0a352spiedf5tvff5409zrwa0zxvsd"&gt;966&lt;/key&gt;&lt;/foreign-keys&gt;&lt;ref-type name="Book"&gt;6&lt;/ref-type&gt;&lt;contributors&gt;&lt;authors&gt;&lt;author&gt;Richmond, Amos&lt;/author&gt;&lt;author&gt;Hu, Qiang&lt;/author&gt;&lt;/authors&gt;&lt;/contributors&gt;&lt;titles&gt;&lt;title&gt;Handbook of microalgal culture: applied phycology and biotechnology&lt;/title&gt;&lt;/titles&gt;&lt;dates&gt;&lt;year&gt;2013&lt;/year&gt;&lt;/dates&gt;&lt;publisher&gt;John Wiley &amp;amp; Sons&lt;/publisher&gt;&lt;isbn&gt;1118567196&lt;/isbn&gt;&lt;urls&gt;&lt;/urls&gt;&lt;/record&gt;&lt;/Cite&gt;&lt;/EndNote&gt;</w:instrText>
      </w:r>
      <w:r w:rsidR="00FD7D2F">
        <w:fldChar w:fldCharType="separate"/>
      </w:r>
      <w:r w:rsidR="00E7405E">
        <w:rPr>
          <w:noProof/>
        </w:rPr>
        <w:t>[7]</w:t>
      </w:r>
      <w:r w:rsidR="00FD7D2F">
        <w:fldChar w:fldCharType="end"/>
      </w:r>
      <w:r w:rsidR="00816EF3">
        <w:t>;</w:t>
      </w:r>
      <w:r w:rsidR="00C31D8B">
        <w:t xml:space="preserve"> </w:t>
      </w:r>
      <w:r>
        <w:t xml:space="preserve"> the uptake of metals is strongly dependent on the provision of adequate light, temperature and nutrients for algal growth</w:t>
      </w:r>
      <w:r w:rsidR="00B10769">
        <w:t xml:space="preserve"> </w:t>
      </w:r>
      <w:r w:rsidR="00B10769">
        <w:fldChar w:fldCharType="begin"/>
      </w:r>
      <w:r w:rsidR="00E7405E">
        <w:instrText xml:space="preserve"> ADDIN EN.CITE &lt;EndNote&gt;&lt;Cite&gt;&lt;Author&gt;Richmond&lt;/Author&gt;&lt;Year&gt;2013&lt;/Year&gt;&lt;RecNum&gt;966&lt;/RecNum&gt;&lt;DisplayText&gt;[7]&lt;/DisplayText&gt;&lt;record&gt;&lt;rec-number&gt;966&lt;/rec-number&gt;&lt;foreign-keys&gt;&lt;key app="EN" db-id="fa5pvx0a352spiedf5tvff5409zrwa0zxvsd"&gt;966&lt;/key&gt;&lt;/foreign-keys&gt;&lt;ref-type name="Book"&gt;6&lt;/ref-type&gt;&lt;contributors&gt;&lt;authors&gt;&lt;author&gt;Richmond, Amos&lt;/author&gt;&lt;author&gt;Hu, Qiang&lt;/author&gt;&lt;/authors&gt;&lt;/contributors&gt;&lt;titles&gt;&lt;title&gt;Handbook of microalgal culture: applied phycology and biotechnology&lt;/title&gt;&lt;/titles&gt;&lt;dates&gt;&lt;year&gt;2013&lt;/year&gt;&lt;/dates&gt;&lt;publisher&gt;John Wiley &amp;amp; Sons&lt;/publisher&gt;&lt;isbn&gt;1118567196&lt;/isbn&gt;&lt;urls&gt;&lt;/urls&gt;&lt;/record&gt;&lt;/Cite&gt;&lt;/EndNote&gt;</w:instrText>
      </w:r>
      <w:r w:rsidR="00B10769">
        <w:fldChar w:fldCharType="separate"/>
      </w:r>
      <w:r w:rsidR="00E7405E">
        <w:rPr>
          <w:noProof/>
        </w:rPr>
        <w:t>[7]</w:t>
      </w:r>
      <w:r w:rsidR="00B10769">
        <w:fldChar w:fldCharType="end"/>
      </w:r>
      <w:r>
        <w:t>. The use of both living and dead biomass has been explored, with living algal cells found to be particularly efficient at remediating water with low metal concentrations</w:t>
      </w:r>
      <w:r w:rsidR="00A57E69">
        <w:t xml:space="preserve"> </w:t>
      </w:r>
      <w:r w:rsidR="00A57E69">
        <w:fldChar w:fldCharType="begin"/>
      </w:r>
      <w:r w:rsidR="00E7405E">
        <w:instrText xml:space="preserve"> ADDIN EN.CITE &lt;EndNote&gt;&lt;Cite&gt;&lt;Author&gt;de-Bashan&lt;/Author&gt;&lt;Year&gt;2010&lt;/Year&gt;&lt;RecNum&gt;991&lt;/RecNum&gt;&lt;DisplayText&gt;[8, 9]&lt;/DisplayText&gt;&lt;record&gt;&lt;rec-number&gt;991&lt;/rec-number&gt;&lt;foreign-keys&gt;&lt;key app="EN" db-id="fa5pvx0a352spiedf5tvff5409zrwa0zxvsd"&gt;991&lt;/key&gt;&lt;/foreign-keys&gt;&lt;ref-type name="Journal Article"&gt;17&lt;/ref-type&gt;&lt;contributors&gt;&lt;authors&gt;&lt;author&gt;de-Bashan, Luz E&lt;/author&gt;&lt;author&gt;Bashan, Yoav&lt;/author&gt;&lt;/authors&gt;&lt;/contributors&gt;&lt;titles&gt;&lt;title&gt;Immobilized microalgae for removing pollutants: review of practical aspects&lt;/title&gt;&lt;secondary-title&gt;Bioresource Technology&lt;/secondary-title&gt;&lt;/titles&gt;&lt;periodical&gt;&lt;full-title&gt;Bioresource Technology&lt;/full-title&gt;&lt;/periodical&gt;&lt;pages&gt;1611-1627&lt;/pages&gt;&lt;volume&gt;101&lt;/volume&gt;&lt;number&gt;6&lt;/number&gt;&lt;dates&gt;&lt;year&gt;2010&lt;/year&gt;&lt;/dates&gt;&lt;isbn&gt;0960-8524&lt;/isbn&gt;&lt;urls&gt;&lt;/urls&gt;&lt;/record&gt;&lt;/Cite&gt;&lt;Cite&gt;&lt;Author&gt;Ahluwalia&lt;/Author&gt;&lt;Year&gt;2007&lt;/Year&gt;&lt;RecNum&gt;992&lt;/RecNum&gt;&lt;record&gt;&lt;rec-number&gt;992&lt;/rec-number&gt;&lt;foreign-keys&gt;&lt;key app="EN" db-id="fa5pvx0a352spiedf5tvff5409zrwa0zxvsd"&gt;992&lt;/key&gt;&lt;/foreign-keys&gt;&lt;ref-type name="Journal Article"&gt;17&lt;/ref-type&gt;&lt;contributors&gt;&lt;authors&gt;&lt;author&gt;Ahluwalia, Sarabjeet Singh&lt;/author&gt;&lt;author&gt;Goyal, Dinesh&lt;/author&gt;&lt;/authors&gt;&lt;/contributors&gt;&lt;titles&gt;&lt;title&gt;Microbial and plant derived biomass for removal of heavy metals from wastewater&lt;/title&gt;&lt;secondary-title&gt;Bioresource technology&lt;/secondary-title&gt;&lt;/titles&gt;&lt;periodical&gt;&lt;full-title&gt;Bioresource Technology&lt;/full-title&gt;&lt;/periodical&gt;&lt;pages&gt;2243-2257&lt;/pages&gt;&lt;volume&gt;98&lt;/volume&gt;&lt;number&gt;12&lt;/number&gt;&lt;dates&gt;&lt;year&gt;2007&lt;/year&gt;&lt;/dates&gt;&lt;isbn&gt;0960-8524&lt;/isbn&gt;&lt;urls&gt;&lt;/urls&gt;&lt;/record&gt;&lt;/Cite&gt;&lt;/EndNote&gt;</w:instrText>
      </w:r>
      <w:r w:rsidR="00A57E69">
        <w:fldChar w:fldCharType="separate"/>
      </w:r>
      <w:r w:rsidR="00E7405E">
        <w:rPr>
          <w:noProof/>
        </w:rPr>
        <w:t>[8, 9]</w:t>
      </w:r>
      <w:r w:rsidR="00A57E69">
        <w:fldChar w:fldCharType="end"/>
      </w:r>
      <w:r w:rsidR="00A57E69">
        <w:t xml:space="preserve">. </w:t>
      </w:r>
      <w:r>
        <w:t>Although these methods are highly effective in lowering metal concentrations in AMD sufficiently, large volumes of secondary waste are created in the form of metal-contaminated biomass and sediments</w:t>
      </w:r>
      <w:r w:rsidR="00B10769">
        <w:t xml:space="preserve"> </w:t>
      </w:r>
      <w:r w:rsidR="00B10769">
        <w:fldChar w:fldCharType="begin"/>
      </w:r>
      <w:r w:rsidR="00E7405E">
        <w:instrText xml:space="preserve"> ADDIN EN.CITE &lt;EndNote&gt;&lt;Cite&gt;&lt;Author&gt;Yang&lt;/Author&gt;&lt;Year&gt;2010&lt;/Year&gt;&lt;RecNum&gt;967&lt;/RecNum&gt;&lt;DisplayText&gt;[10]&lt;/DisplayText&gt;&lt;record&gt;&lt;rec-number&gt;967&lt;/rec-number&gt;&lt;foreign-keys&gt;&lt;key app="EN" db-id="fa5pvx0a352spiedf5tvff5409zrwa0zxvsd"&gt;967&lt;/key&gt;&lt;/foreign-keys&gt;&lt;ref-type name="Journal Article"&gt;17&lt;/ref-type&gt;&lt;contributors&gt;&lt;authors&gt;&lt;author&gt;Yang, Jian-guang&lt;/author&gt;&lt;/authors&gt;&lt;/contributors&gt;&lt;titles&gt;&lt;title&gt;Heavy metal removal and crude bio-oil upgrading from Sedum plumbizincicola harvest using hydrothermal upgrading process&lt;/title&gt;&lt;secondary-title&gt;Bioresource Technology&lt;/secondary-title&gt;&lt;/titles&gt;&lt;periodical&gt;&lt;full-title&gt;Bioresource Technology&lt;/full-title&gt;&lt;/periodical&gt;&lt;pages&gt;7653-7657&lt;/pages&gt;&lt;volume&gt;101&lt;/volume&gt;&lt;number&gt;19&lt;/number&gt;&lt;dates&gt;&lt;year&gt;2010&lt;/year&gt;&lt;/dates&gt;&lt;isbn&gt;0960-8524&lt;/isbn&gt;&lt;urls&gt;&lt;/urls&gt;&lt;/record&gt;&lt;/Cite&gt;&lt;/EndNote&gt;</w:instrText>
      </w:r>
      <w:r w:rsidR="00B10769">
        <w:fldChar w:fldCharType="separate"/>
      </w:r>
      <w:r w:rsidR="00E7405E">
        <w:rPr>
          <w:noProof/>
        </w:rPr>
        <w:t>[10]</w:t>
      </w:r>
      <w:r w:rsidR="00B10769">
        <w:fldChar w:fldCharType="end"/>
      </w:r>
      <w:r>
        <w:t xml:space="preserve">. Use of the biomass as a fuel and recovery of the </w:t>
      </w:r>
      <w:r w:rsidR="002A41EF">
        <w:t>associated</w:t>
      </w:r>
      <w:r>
        <w:t xml:space="preserve"> metals from the AMD could relieve this threat, as well as presenting a revenue</w:t>
      </w:r>
      <w:r w:rsidR="002A41EF">
        <w:t xml:space="preserve"> stream to offset operational costs of both the AMD treatment and the biofuel production itself</w:t>
      </w:r>
      <w:r>
        <w:t xml:space="preserve">. </w:t>
      </w:r>
      <w:r w:rsidR="00167F6D">
        <w:t xml:space="preserve">Additionally the elevated temperature of the AMD </w:t>
      </w:r>
      <w:r w:rsidR="009F42EB">
        <w:t>c</w:t>
      </w:r>
      <w:r w:rsidR="00894C86">
        <w:t xml:space="preserve">ould potentially </w:t>
      </w:r>
      <w:r w:rsidR="00C1452A">
        <w:t>enhance algal growth.</w:t>
      </w:r>
      <w:r w:rsidR="00167F6D">
        <w:t xml:space="preserve"> </w:t>
      </w:r>
      <w:r w:rsidR="00C1452A">
        <w:t>While</w:t>
      </w:r>
      <w:r>
        <w:t xml:space="preserve"> </w:t>
      </w:r>
      <w:r w:rsidR="007E5945">
        <w:t xml:space="preserve">recovery </w:t>
      </w:r>
      <w:r w:rsidR="00C1452A">
        <w:t xml:space="preserve">of the metals </w:t>
      </w:r>
      <w:r w:rsidR="007E5945">
        <w:t xml:space="preserve">is </w:t>
      </w:r>
      <w:r w:rsidR="00C1452A">
        <w:t xml:space="preserve">possible </w:t>
      </w:r>
      <w:r w:rsidR="007E5945">
        <w:t>through</w:t>
      </w:r>
      <w:r>
        <w:t xml:space="preserve"> </w:t>
      </w:r>
      <w:r w:rsidR="007E5945">
        <w:t xml:space="preserve">the complete drying and </w:t>
      </w:r>
      <w:r>
        <w:t xml:space="preserve">direct combustion of the algae for power </w:t>
      </w:r>
      <w:r>
        <w:lastRenderedPageBreak/>
        <w:t>generation</w:t>
      </w:r>
      <w:r w:rsidR="007E5945">
        <w:t>, with the absorbed metals being recoverable from the ash</w:t>
      </w:r>
      <w:r w:rsidR="00C1452A">
        <w:t xml:space="preserve"> </w:t>
      </w:r>
      <w:r w:rsidR="00C1452A">
        <w:fldChar w:fldCharType="begin"/>
      </w:r>
      <w:r w:rsidR="00E7405E">
        <w:instrText xml:space="preserve"> ADDIN EN.CITE &lt;EndNote&gt;&lt;Cite&gt;&lt;Author&gt;Pittman&lt;/Author&gt;&lt;Year&gt;2011&lt;/Year&gt;&lt;RecNum&gt;990&lt;/RecNum&gt;&lt;DisplayText&gt;[11]&lt;/DisplayText&gt;&lt;record&gt;&lt;rec-number&gt;990&lt;/rec-number&gt;&lt;foreign-keys&gt;&lt;key app="EN" db-id="fa5pvx0a352spiedf5tvff5409zrwa0zxvsd"&gt;990&lt;/key&gt;&lt;/foreign-keys&gt;&lt;ref-type name="Journal Article"&gt;17&lt;/ref-type&gt;&lt;contributors&gt;&lt;authors&gt;&lt;author&gt;Pittman, Jon K.&lt;/author&gt;&lt;author&gt;Dean, Andrew P.&lt;/author&gt;&lt;author&gt;Osundeko, Olumayowa&lt;/author&gt;&lt;/authors&gt;&lt;/contributors&gt;&lt;titles&gt;&lt;title&gt;The potential of sustainable algal biofuel production using wastewater resources&lt;/title&gt;&lt;secondary-title&gt;Bioresource Technology&lt;/secondary-title&gt;&lt;/titles&gt;&lt;periodical&gt;&lt;full-title&gt;Bioresource Technology&lt;/full-title&gt;&lt;/periodical&gt;&lt;pages&gt;17-25&lt;/pages&gt;&lt;volume&gt;102&lt;/volume&gt;&lt;number&gt;1&lt;/number&gt;&lt;keywords&gt;&lt;keyword&gt;Microalgae&lt;/keyword&gt;&lt;keyword&gt;Biofuel&lt;/keyword&gt;&lt;keyword&gt;Biomass&lt;/keyword&gt;&lt;keyword&gt;Lipids&lt;/keyword&gt;&lt;keyword&gt;Wastewater&lt;/keyword&gt;&lt;/keywords&gt;&lt;dates&gt;&lt;year&gt;2011&lt;/year&gt;&lt;pub-dates&gt;&lt;date&gt;1//&lt;/date&gt;&lt;/pub-dates&gt;&lt;/dates&gt;&lt;isbn&gt;0960-8524&lt;/isbn&gt;&lt;urls&gt;&lt;related-urls&gt;&lt;url&gt;http://www.sciencedirect.com/science/article/pii/S0960852410010163&lt;/url&gt;&lt;/related-urls&gt;&lt;/urls&gt;&lt;electronic-resource-num&gt;http://dx.doi.org/10.1016/j.biortech.2010.06.035&lt;/electronic-resource-num&gt;&lt;/record&gt;&lt;/Cite&gt;&lt;/EndNote&gt;</w:instrText>
      </w:r>
      <w:r w:rsidR="00C1452A">
        <w:fldChar w:fldCharType="separate"/>
      </w:r>
      <w:r w:rsidR="00E7405E">
        <w:rPr>
          <w:noProof/>
        </w:rPr>
        <w:t>[11]</w:t>
      </w:r>
      <w:r w:rsidR="00C1452A">
        <w:fldChar w:fldCharType="end"/>
      </w:r>
      <w:r>
        <w:t xml:space="preserve">, a potentially </w:t>
      </w:r>
      <w:r w:rsidR="007D7B77">
        <w:t xml:space="preserve">more </w:t>
      </w:r>
      <w:r>
        <w:t xml:space="preserve">efficient alternative </w:t>
      </w:r>
      <w:r w:rsidR="007D7B77">
        <w:t>is to process the biomass through h</w:t>
      </w:r>
      <w:r>
        <w:t xml:space="preserve">ydrothermal liquefaction (HTL). </w:t>
      </w:r>
    </w:p>
    <w:p w14:paraId="7A8D4FFD" w14:textId="0D4F339D" w:rsidR="009C69B1" w:rsidRDefault="009C69B1" w:rsidP="00B50382">
      <w:pPr>
        <w:shd w:val="clear" w:color="auto" w:fill="FFFFFF"/>
        <w:spacing w:after="0" w:line="480" w:lineRule="auto"/>
        <w:ind w:firstLine="720"/>
        <w:jc w:val="both"/>
      </w:pPr>
      <w:r>
        <w:t>HTL utilises water at sub-/near-critical conditions (200–380 °C, 5</w:t>
      </w:r>
      <w:r w:rsidR="007E5945">
        <w:t>0</w:t>
      </w:r>
      <w:r>
        <w:t>–28</w:t>
      </w:r>
      <w:r w:rsidR="007E5945">
        <w:t>0 bar</w:t>
      </w:r>
      <w:r>
        <w:t>) as both the reaction medium and solvent for a host of reactions, converting algal biomass i</w:t>
      </w:r>
      <w:r w:rsidR="00167F6D">
        <w:t>nto a bio-oil, alongside an</w:t>
      </w:r>
      <w:r>
        <w:t xml:space="preserve"> aqueous phase, a solid </w:t>
      </w:r>
      <w:r w:rsidR="005651AD">
        <w:t>residue</w:t>
      </w:r>
      <w:r>
        <w:t xml:space="preserve"> and a number of gaseous products. HTL can be used to process biomass at a concentration of ca. </w:t>
      </w:r>
      <w:r w:rsidR="00C62E3E">
        <w:t>5</w:t>
      </w:r>
      <w:r>
        <w:t>–25 %</w:t>
      </w:r>
      <w:r w:rsidR="00C62E3E">
        <w:t xml:space="preserve"> with water</w:t>
      </w:r>
      <w:r>
        <w:t xml:space="preserve">, </w:t>
      </w:r>
      <w:r w:rsidR="00DE08F6">
        <w:t xml:space="preserve">with one study estimating that </w:t>
      </w:r>
      <w:r>
        <w:t xml:space="preserve"> the energy consumption of biomass preparation </w:t>
      </w:r>
      <w:r w:rsidR="00DE08F6">
        <w:t xml:space="preserve">was reduced </w:t>
      </w:r>
      <w:r>
        <w:t xml:space="preserve">by 88 % if the </w:t>
      </w:r>
      <w:r w:rsidR="001E2B45">
        <w:t xml:space="preserve">input </w:t>
      </w:r>
      <w:r>
        <w:t>slurry generated is used without drying steps</w:t>
      </w:r>
      <w:r w:rsidR="00B10769">
        <w:t xml:space="preserve"> </w:t>
      </w:r>
      <w:r w:rsidR="00B10769">
        <w:fldChar w:fldCharType="begin"/>
      </w:r>
      <w:r w:rsidR="00E7405E">
        <w:instrText xml:space="preserve"> ADDIN EN.CITE &lt;EndNote&gt;&lt;Cite&gt;&lt;Author&gt;Xu&lt;/Author&gt;&lt;Year&gt;2011&lt;/Year&gt;&lt;RecNum&gt;968&lt;/RecNum&gt;&lt;DisplayText&gt;[12]&lt;/DisplayText&gt;&lt;record&gt;&lt;rec-number&gt;968&lt;/rec-number&gt;&lt;foreign-keys&gt;&lt;key app="EN" db-id="fa5pvx0a352spiedf5tvff5409zrwa0zxvsd"&gt;968&lt;/key&gt;&lt;/foreign-keys&gt;&lt;ref-type name="Journal Article"&gt;17&lt;/ref-type&gt;&lt;contributors&gt;&lt;authors&gt;&lt;author&gt;Xu, Lixian&lt;/author&gt;&lt;author&gt;Brilman, Derk WF Wim&lt;/author&gt;&lt;author&gt;Withag, Jan AM&lt;/author&gt;&lt;author&gt;Brem, Gerrit&lt;/author&gt;&lt;author&gt;Kersten, Sascha&lt;/author&gt;&lt;/authors&gt;&lt;/contributors&gt;&lt;titles&gt;&lt;title&gt;Assessment of a dry and a wet route for the production of biofuels from microalgae: energy balance analysis&lt;/title&gt;&lt;secondary-title&gt;Bioresource Technology&lt;/secondary-title&gt;&lt;/titles&gt;&lt;periodical&gt;&lt;full-title&gt;Bioresource Technology&lt;/full-title&gt;&lt;/periodical&gt;&lt;pages&gt;5113-5122&lt;/pages&gt;&lt;volume&gt;102&lt;/volume&gt;&lt;number&gt;8&lt;/number&gt;&lt;dates&gt;&lt;year&gt;2011&lt;/year&gt;&lt;/dates&gt;&lt;isbn&gt;0960-8524&lt;/isbn&gt;&lt;urls&gt;&lt;/urls&gt;&lt;/record&gt;&lt;/Cite&gt;&lt;/EndNote&gt;</w:instrText>
      </w:r>
      <w:r w:rsidR="00B10769">
        <w:fldChar w:fldCharType="separate"/>
      </w:r>
      <w:r w:rsidR="00E7405E">
        <w:rPr>
          <w:noProof/>
        </w:rPr>
        <w:t>[12]</w:t>
      </w:r>
      <w:r w:rsidR="00B10769">
        <w:fldChar w:fldCharType="end"/>
      </w:r>
      <w:r>
        <w:t>. The temperatures used in HTL are well within the range of those encountered in many conventional oil refinery operations</w:t>
      </w:r>
      <w:r w:rsidR="00B10769">
        <w:t xml:space="preserve"> </w:t>
      </w:r>
      <w:r w:rsidR="00B10769">
        <w:fldChar w:fldCharType="begin"/>
      </w:r>
      <w:r w:rsidR="00E7405E">
        <w:instrText xml:space="preserve"> ADDIN EN.CITE &lt;EndNote&gt;&lt;Cite&gt;&lt;Author&gt;Duan&lt;/Author&gt;&lt;Year&gt;2013&lt;/Year&gt;&lt;RecNum&gt;969&lt;/RecNum&gt;&lt;DisplayText&gt;[13]&lt;/DisplayText&gt;&lt;record&gt;&lt;rec-number&gt;969&lt;/rec-number&gt;&lt;foreign-keys&gt;&lt;key app="EN" db-id="fa5pvx0a352spiedf5tvff5409zrwa0zxvsd"&gt;969&lt;/key&gt;&lt;/foreign-keys&gt;&lt;ref-type name="Journal Article"&gt;17&lt;/ref-type&gt;&lt;contributors&gt;&lt;authors&gt;&lt;author&gt;Duan, Peigao&lt;/author&gt;&lt;author&gt;Bai, Xiujun&lt;/author&gt;&lt;author&gt;Xu, Yuping&lt;/author&gt;&lt;author&gt;Zhang, Aiyun&lt;/author&gt;&lt;author&gt;Wang, Feng&lt;/author&gt;&lt;author&gt;Zhang, Lei&lt;/author&gt;&lt;author&gt;Miao, Juan&lt;/author&gt;&lt;/authors&gt;&lt;/contributors&gt;&lt;titles&gt;&lt;title&gt;Catalytic upgrading of crude algal oil using platinum/gamma alumina in supercritical water&lt;/title&gt;&lt;secondary-title&gt;Fuel&lt;/secondary-title&gt;&lt;/titles&gt;&lt;periodical&gt;&lt;full-title&gt;Fuel&lt;/full-title&gt;&lt;/periodical&gt;&lt;pages&gt;225-233&lt;/pages&gt;&lt;volume&gt;109&lt;/volume&gt;&lt;dates&gt;&lt;year&gt;2013&lt;/year&gt;&lt;/dates&gt;&lt;isbn&gt;0016-2361&lt;/isbn&gt;&lt;urls&gt;&lt;/urls&gt;&lt;/record&gt;&lt;/Cite&gt;&lt;/EndNote&gt;</w:instrText>
      </w:r>
      <w:r w:rsidR="00B10769">
        <w:fldChar w:fldCharType="separate"/>
      </w:r>
      <w:r w:rsidR="00E7405E">
        <w:rPr>
          <w:noProof/>
        </w:rPr>
        <w:t>[13]</w:t>
      </w:r>
      <w:r w:rsidR="00B10769">
        <w:fldChar w:fldCharType="end"/>
      </w:r>
      <w:r>
        <w:t xml:space="preserve">, and as such, HTL processing </w:t>
      </w:r>
      <w:r w:rsidR="001E2B45">
        <w:t>of</w:t>
      </w:r>
      <w:r>
        <w:t xml:space="preserve"> algal biomass is energy-efficient and pot</w:t>
      </w:r>
      <w:r w:rsidR="00167F6D">
        <w:t xml:space="preserve">entially </w:t>
      </w:r>
      <w:r w:rsidR="00816EF3">
        <w:t>scalable</w:t>
      </w:r>
      <w:r w:rsidR="00167F6D">
        <w:t xml:space="preserve">. For example, </w:t>
      </w:r>
      <w:r>
        <w:t>the life cycle performance of lab</w:t>
      </w:r>
      <w:r w:rsidR="002A41EF">
        <w:t>oratory</w:t>
      </w:r>
      <w:r>
        <w:t xml:space="preserve">, pilot- and full-scale scenarios, </w:t>
      </w:r>
      <w:r w:rsidR="00167F6D">
        <w:t>demonstrated</w:t>
      </w:r>
      <w:r>
        <w:t xml:space="preserve"> significant improvements in GHG emissions with respect to gasoline and corn ethanol, and a potential </w:t>
      </w:r>
      <w:r w:rsidR="00C62E3E">
        <w:t>Energy Return on Investment (</w:t>
      </w:r>
      <w:r>
        <w:t>EROI</w:t>
      </w:r>
      <w:r w:rsidR="00C62E3E">
        <w:t>)</w:t>
      </w:r>
      <w:r>
        <w:t xml:space="preserve"> of around 2.5 for the full-scale scenario</w:t>
      </w:r>
      <w:r w:rsidR="00B10769">
        <w:t xml:space="preserve"> </w:t>
      </w:r>
      <w:r w:rsidR="00B10769">
        <w:fldChar w:fldCharType="begin"/>
      </w:r>
      <w:r w:rsidR="00E7405E">
        <w:instrText xml:space="preserve"> ADDIN EN.CITE &lt;EndNote&gt;&lt;Cite&gt;&lt;Author&gt;Liu&lt;/Author&gt;&lt;Year&gt;2013&lt;/Year&gt;&lt;RecNum&gt;970&lt;/RecNum&gt;&lt;DisplayText&gt;[14]&lt;/DisplayText&gt;&lt;record&gt;&lt;rec-number&gt;970&lt;/rec-number&gt;&lt;foreign-keys&gt;&lt;key app="EN" db-id="fa5pvx0a352spiedf5tvff5409zrwa0zxvsd"&gt;970&lt;/key&gt;&lt;/foreign-keys&gt;&lt;ref-type name="Journal Article"&gt;17&lt;/ref-type&gt;&lt;contributors&gt;&lt;authors&gt;&lt;author&gt;Liu, Xiaowei&lt;/author&gt;&lt;author&gt;Saydah, Benjamin&lt;/author&gt;&lt;author&gt;Eranki, Pragnya&lt;/author&gt;&lt;author&gt;Colosi, Lisa M&lt;/author&gt;&lt;author&gt;Mitchell, B Greg&lt;/author&gt;&lt;author&gt;Rhodes, James&lt;/author&gt;&lt;author&gt;Clarens, Andres F&lt;/author&gt;&lt;/authors&gt;&lt;/contributors&gt;&lt;titles&gt;&lt;title&gt;Pilot-scale data provide enhanced estimates of the life cycle energy and emissions profile of algae biofuels produced via hydrothermal liquefaction&lt;/title&gt;&lt;secondary-title&gt;Bioresource Technology&lt;/secondary-title&gt;&lt;/titles&gt;&lt;periodical&gt;&lt;full-title&gt;Bioresource Technology&lt;/full-title&gt;&lt;/periodical&gt;&lt;pages&gt;163-171&lt;/pages&gt;&lt;volume&gt;148&lt;/volume&gt;&lt;dates&gt;&lt;year&gt;2013&lt;/year&gt;&lt;/dates&gt;&lt;isbn&gt;0960-8524&lt;/isbn&gt;&lt;urls&gt;&lt;/urls&gt;&lt;/record&gt;&lt;/Cite&gt;&lt;/EndNote&gt;</w:instrText>
      </w:r>
      <w:r w:rsidR="00B10769">
        <w:fldChar w:fldCharType="separate"/>
      </w:r>
      <w:r w:rsidR="00E7405E">
        <w:rPr>
          <w:noProof/>
        </w:rPr>
        <w:t>[14]</w:t>
      </w:r>
      <w:r w:rsidR="00B10769">
        <w:fldChar w:fldCharType="end"/>
      </w:r>
      <w:r>
        <w:t>, subject to the optimisation of a closed-loop system incorporating energy and nutrient recycling.</w:t>
      </w:r>
    </w:p>
    <w:p w14:paraId="1A428F07" w14:textId="5F622A38" w:rsidR="009C69B1" w:rsidRDefault="009C69B1" w:rsidP="007D7B77">
      <w:pPr>
        <w:shd w:val="clear" w:color="auto" w:fill="FFFFFF"/>
        <w:spacing w:after="0" w:line="480" w:lineRule="auto"/>
        <w:ind w:firstLine="720"/>
        <w:jc w:val="both"/>
      </w:pPr>
      <w:r>
        <w:t>HTL comprises hundreds of simultaneous reactions, including the decarboxylation of carbohydrates to sugars and fragmentation to aldehydes, hydrolysis of lipids to fatty acids and subsequently longer-chain hydrocarbons, and depolymerisation and deamination of proteins. In addition</w:t>
      </w:r>
      <w:r w:rsidR="00447236">
        <w:t>,</w:t>
      </w:r>
      <w:r>
        <w:t xml:space="preserve"> repolymerisation of the reactive fragments into larger oil compounds is also favourable</w:t>
      </w:r>
      <w:r w:rsidR="00B10769">
        <w:t xml:space="preserve"> </w:t>
      </w:r>
      <w:r w:rsidR="00B10769">
        <w:fldChar w:fldCharType="begin"/>
      </w:r>
      <w:r w:rsidR="00E7405E">
        <w:instrText xml:space="preserve"> ADDIN EN.CITE &lt;EndNote&gt;&lt;Cite&gt;&lt;Author&gt;Toor&lt;/Author&gt;&lt;Year&gt;2011&lt;/Year&gt;&lt;RecNum&gt;971&lt;/RecNum&gt;&lt;DisplayText&gt;[15]&lt;/DisplayText&gt;&lt;record&gt;&lt;rec-number&gt;971&lt;/rec-number&gt;&lt;foreign-keys&gt;&lt;key app="EN" db-id="fa5pvx0a352spiedf5tvff5409zrwa0zxvsd"&gt;971&lt;/key&gt;&lt;/foreign-keys&gt;&lt;ref-type name="Journal Article"&gt;17&lt;/ref-type&gt;&lt;contributors&gt;&lt;authors&gt;&lt;author&gt;Toor, Saqib Sohail&lt;/author&gt;&lt;author&gt;Rosendahl, Lasse&lt;/author&gt;&lt;author&gt;Rudolf, Andreas&lt;/author&gt;&lt;/authors&gt;&lt;/contributors&gt;&lt;titles&gt;&lt;title&gt;Hydrothermal liquefaction of biomass: a review of subcritical water technologies&lt;/title&gt;&lt;secondary-title&gt;Energy&lt;/secondary-title&gt;&lt;/titles&gt;&lt;periodical&gt;&lt;full-title&gt;Energy&lt;/full-title&gt;&lt;/periodical&gt;&lt;pages&gt;2328-2342&lt;/pages&gt;&lt;volume&gt;36&lt;/volume&gt;&lt;number&gt;5&lt;/number&gt;&lt;dates&gt;&lt;year&gt;2011&lt;/year&gt;&lt;/dates&gt;&lt;isbn&gt;0360-5442&lt;/isbn&gt;&lt;urls&gt;&lt;/urls&gt;&lt;/record&gt;&lt;/Cite&gt;&lt;/EndNote&gt;</w:instrText>
      </w:r>
      <w:r w:rsidR="00B10769">
        <w:fldChar w:fldCharType="separate"/>
      </w:r>
      <w:r w:rsidR="00E7405E">
        <w:rPr>
          <w:noProof/>
        </w:rPr>
        <w:t>[15]</w:t>
      </w:r>
      <w:r w:rsidR="00B10769">
        <w:fldChar w:fldCharType="end"/>
      </w:r>
      <w:r>
        <w:t>. Most liquefactions under optimised conditions have resulted in bio-</w:t>
      </w:r>
      <w:r w:rsidR="00351241">
        <w:t>oil</w:t>
      </w:r>
      <w:r>
        <w:t xml:space="preserve"> yields around 30–45 %</w:t>
      </w:r>
      <w:r w:rsidR="00B10769">
        <w:t xml:space="preserve"> </w:t>
      </w:r>
      <w:r w:rsidR="00B10769">
        <w:fldChar w:fldCharType="begin"/>
      </w:r>
      <w:r w:rsidR="00E7405E">
        <w:instrText xml:space="preserve"> ADDIN EN.CITE &lt;EndNote&gt;&lt;Cite&gt;&lt;Author&gt;Guo&lt;/Author&gt;&lt;Year&gt;2015&lt;/Year&gt;&lt;RecNum&gt;972&lt;/RecNum&gt;&lt;DisplayText&gt;[16, 17]&lt;/DisplayText&gt;&lt;record&gt;&lt;rec-number&gt;972&lt;/rec-number&gt;&lt;foreign-keys&gt;&lt;key app="EN" db-id="fa5pvx0a352spiedf5tvff5409zrwa0zxvsd"&gt;972&lt;/key&gt;&lt;/foreign-keys&gt;&lt;ref-type name="Journal Article"&gt;17&lt;/ref-type&gt;&lt;contributors&gt;&lt;authors&gt;&lt;author&gt;Guo, Yang&lt;/author&gt;&lt;author&gt;Yeh, Thomas&lt;/author&gt;&lt;author&gt;Song, Wenhan&lt;/author&gt;&lt;author&gt;Xu, Donghai&lt;/author&gt;&lt;author&gt;Wang, Shuzhong&lt;/author&gt;&lt;/authors&gt;&lt;/contributors&gt;&lt;titles&gt;&lt;title&gt;A review of bio-oil production from hydrothermal liquefaction of algae&lt;/title&gt;&lt;secondary-title&gt;Renewable and Sustainable Energy Reviews&lt;/secondary-title&gt;&lt;/titles&gt;&lt;periodical&gt;&lt;full-title&gt;Renewable and Sustainable Energy Reviews&lt;/full-title&gt;&lt;/periodical&gt;&lt;pages&gt;776-790&lt;/pages&gt;&lt;volume&gt;48&lt;/volume&gt;&lt;dates&gt;&lt;year&gt;2015&lt;/year&gt;&lt;/dates&gt;&lt;isbn&gt;1364-0321&lt;/isbn&gt;&lt;urls&gt;&lt;/urls&gt;&lt;/record&gt;&lt;/Cite&gt;&lt;Cite&gt;&lt;Author&gt;Biller&lt;/Author&gt;&lt;Year&gt;2011&lt;/Year&gt;&lt;RecNum&gt;973&lt;/RecNum&gt;&lt;record&gt;&lt;rec-number&gt;973&lt;/rec-number&gt;&lt;foreign-keys&gt;&lt;key app="EN" db-id="fa5pvx0a352spiedf5tvff5409zrwa0zxvsd"&gt;973&lt;/key&gt;&lt;/foreign-keys&gt;&lt;ref-type name="Journal Article"&gt;17&lt;/ref-type&gt;&lt;contributors&gt;&lt;authors&gt;&lt;author&gt;Biller, P&lt;/author&gt;&lt;author&gt;Ross, AB&lt;/author&gt;&lt;/authors&gt;&lt;/contributors&gt;&lt;titles&gt;&lt;title&gt;Potential yields and properties of oil from the hydrothermal liquefaction of microalgae with different biochemical content&lt;/title&gt;&lt;secondary-title&gt;Bioresource Technology&lt;/secondary-title&gt;&lt;/titles&gt;&lt;periodical&gt;&lt;full-title&gt;Bioresource Technology&lt;/full-title&gt;&lt;/periodical&gt;&lt;pages&gt;215-225&lt;/pages&gt;&lt;volume&gt;102&lt;/volume&gt;&lt;number&gt;1&lt;/number&gt;&lt;dates&gt;&lt;year&gt;2011&lt;/year&gt;&lt;/dates&gt;&lt;isbn&gt;0960-8524&lt;/isbn&gt;&lt;urls&gt;&lt;/urls&gt;&lt;/record&gt;&lt;/Cite&gt;&lt;/EndNote&gt;</w:instrText>
      </w:r>
      <w:r w:rsidR="00B10769">
        <w:fldChar w:fldCharType="separate"/>
      </w:r>
      <w:r w:rsidR="00E7405E">
        <w:rPr>
          <w:noProof/>
        </w:rPr>
        <w:t>[16, 17]</w:t>
      </w:r>
      <w:r w:rsidR="00B10769">
        <w:fldChar w:fldCharType="end"/>
      </w:r>
      <w:r>
        <w:t>,</w:t>
      </w:r>
      <w:r w:rsidR="00B10769">
        <w:t xml:space="preserve"> </w:t>
      </w:r>
      <w:r>
        <w:t xml:space="preserve">regardless of algae strain, although, notably, Li </w:t>
      </w:r>
      <w:r w:rsidRPr="00447236">
        <w:rPr>
          <w:i/>
        </w:rPr>
        <w:t xml:space="preserve">et al. </w:t>
      </w:r>
      <w:r>
        <w:t xml:space="preserve">obtained yields of 55 % for </w:t>
      </w:r>
      <w:r w:rsidR="00C62E3E" w:rsidRPr="00C62E3E">
        <w:rPr>
          <w:i/>
        </w:rPr>
        <w:t xml:space="preserve">Nannochloropsis </w:t>
      </w:r>
      <w:r w:rsidRPr="00167F6D">
        <w:t>sp</w:t>
      </w:r>
      <w:r>
        <w:t xml:space="preserve">. under HTL at 260 °C for 60 min and at 25 % total solid (TS) loading, and 82.9 % for </w:t>
      </w:r>
      <w:r w:rsidRPr="001E2B45">
        <w:rPr>
          <w:i/>
        </w:rPr>
        <w:t>Chlorella</w:t>
      </w:r>
      <w:r>
        <w:t xml:space="preserve"> sp. (220 °C, 90 min, 25 % TS)</w:t>
      </w:r>
      <w:r w:rsidR="00B10769">
        <w:t xml:space="preserve"> </w:t>
      </w:r>
      <w:r w:rsidR="00B10769">
        <w:fldChar w:fldCharType="begin"/>
      </w:r>
      <w:r w:rsidR="00E7405E">
        <w:instrText xml:space="preserve"> ADDIN EN.CITE &lt;EndNote&gt;&lt;Cite&gt;&lt;Author&gt;Li&lt;/Author&gt;&lt;Year&gt;2014&lt;/Year&gt;&lt;RecNum&gt;974&lt;/RecNum&gt;&lt;DisplayText&gt;[18]&lt;/DisplayText&gt;&lt;record&gt;&lt;rec-number&gt;974&lt;/rec-number&gt;&lt;foreign-keys&gt;&lt;key app="EN" db-id="fa5pvx0a352spiedf5tvff5409zrwa0zxvsd"&gt;974&lt;/key&gt;&lt;/foreign-keys&gt;&lt;ref-type name="Journal Article"&gt;17&lt;/ref-type&gt;&lt;contributors&gt;&lt;authors&gt;&lt;author&gt;Li, Hao&lt;/author&gt;&lt;author&gt;Liu, Zhidan&lt;/author&gt;&lt;author&gt;Zhang, Yuanhui&lt;/author&gt;&lt;author&gt;Li, Baoming&lt;/author&gt;&lt;author&gt;Lu, Haifeng&lt;/author&gt;&lt;author&gt;Duan, Na&lt;/author&gt;&lt;author&gt;Liu, Minsheng&lt;/author&gt;&lt;author&gt;Zhu, Zhangbing&lt;/author&gt;&lt;author&gt;Si, Buchun&lt;/author&gt;&lt;/authors&gt;&lt;/contributors&gt;&lt;titles&gt;&lt;title&gt;Conversion efficiency and oil quality of low-lipid high-protein and high-lipid low-protein microalgae via hydrothermal liquefaction&lt;/title&gt;&lt;secondary-title&gt;Bioresource Technology&lt;/secondary-title&gt;&lt;/titles&gt;&lt;periodical&gt;&lt;full-title&gt;Bioresource Technology&lt;/full-title&gt;&lt;/periodical&gt;&lt;pages&gt;322-329&lt;/pages&gt;&lt;volume&gt;154&lt;/volume&gt;&lt;dates&gt;&lt;year&gt;2014&lt;/year&gt;&lt;/dates&gt;&lt;isbn&gt;0960-8524&lt;/isbn&gt;&lt;urls&gt;&lt;/urls&gt;&lt;/record&gt;&lt;/Cite&gt;&lt;/EndNote&gt;</w:instrText>
      </w:r>
      <w:r w:rsidR="00B10769">
        <w:fldChar w:fldCharType="separate"/>
      </w:r>
      <w:r w:rsidR="00E7405E">
        <w:rPr>
          <w:noProof/>
        </w:rPr>
        <w:t>[18]</w:t>
      </w:r>
      <w:r w:rsidR="00B10769">
        <w:fldChar w:fldCharType="end"/>
      </w:r>
      <w:r w:rsidR="00C62E3E">
        <w:t>. The numerous</w:t>
      </w:r>
      <w:r>
        <w:t xml:space="preserve"> reactions occurring under HTL conditions lead to a bio-</w:t>
      </w:r>
      <w:r w:rsidR="00351241">
        <w:t>oil</w:t>
      </w:r>
      <w:r>
        <w:t xml:space="preserve"> containing a diverse range of chemical compounds, the main constituents of which have been found to be C5-C16 cyclic nitrogen compounds, C15–C33 branched and unbranched hydrocarbons, branched oxygenates, aromatic compounds, and heterocycles</w:t>
      </w:r>
      <w:r w:rsidR="00B10769">
        <w:t xml:space="preserve"> </w:t>
      </w:r>
      <w:r w:rsidR="00B10769">
        <w:fldChar w:fldCharType="begin"/>
      </w:r>
      <w:r w:rsidR="00E7405E">
        <w:instrText xml:space="preserve"> ADDIN EN.CITE &lt;EndNote&gt;&lt;Cite&gt;&lt;Author&gt;Li&lt;/Author&gt;&lt;Year&gt;2014&lt;/Year&gt;&lt;RecNum&gt;974&lt;/RecNum&gt;&lt;DisplayText&gt;[18]&lt;/DisplayText&gt;&lt;record&gt;&lt;rec-number&gt;974&lt;/rec-number&gt;&lt;foreign-keys&gt;&lt;key app="EN" db-id="fa5pvx0a352spiedf5tvff5409zrwa0zxvsd"&gt;974&lt;/key&gt;&lt;/foreign-keys&gt;&lt;ref-type name="Journal Article"&gt;17&lt;/ref-type&gt;&lt;contributors&gt;&lt;authors&gt;&lt;author&gt;Li, Hao&lt;/author&gt;&lt;author&gt;Liu, Zhidan&lt;/author&gt;&lt;author&gt;Zhang, Yuanhui&lt;/author&gt;&lt;author&gt;Li, Baoming&lt;/author&gt;&lt;author&gt;Lu, Haifeng&lt;/author&gt;&lt;author&gt;Duan, Na&lt;/author&gt;&lt;author&gt;Liu, Minsheng&lt;/author&gt;&lt;author&gt;Zhu, Zhangbing&lt;/author&gt;&lt;author&gt;Si, Buchun&lt;/author&gt;&lt;/authors&gt;&lt;/contributors&gt;&lt;titles&gt;&lt;title&gt;Conversion efficiency and oil quality of low-lipid high-protein and high-lipid low-protein microalgae via hydrothermal liquefaction&lt;/title&gt;&lt;secondary-title&gt;Bioresource Technology&lt;/secondary-title&gt;&lt;/titles&gt;&lt;periodical&gt;&lt;full-title&gt;Bioresource Technology&lt;/full-title&gt;&lt;/periodical&gt;&lt;pages&gt;322-329&lt;/pages&gt;&lt;volume&gt;154&lt;/volume&gt;&lt;dates&gt;&lt;year&gt;2014&lt;/year&gt;&lt;/dates&gt;&lt;isbn&gt;0960-8524&lt;/isbn&gt;&lt;urls&gt;&lt;/urls&gt;&lt;/record&gt;&lt;/Cite&gt;&lt;/EndNote&gt;</w:instrText>
      </w:r>
      <w:r w:rsidR="00B10769">
        <w:fldChar w:fldCharType="separate"/>
      </w:r>
      <w:r w:rsidR="00E7405E">
        <w:rPr>
          <w:noProof/>
        </w:rPr>
        <w:t>[18]</w:t>
      </w:r>
      <w:r w:rsidR="00B10769">
        <w:fldChar w:fldCharType="end"/>
      </w:r>
      <w:r>
        <w:t xml:space="preserve">. Elevated heteroatom (O and N) contents with respect to mineral crude oil are typical of </w:t>
      </w:r>
      <w:r w:rsidR="00DE08F6">
        <w:t xml:space="preserve">algal </w:t>
      </w:r>
      <w:r>
        <w:t>bio-</w:t>
      </w:r>
      <w:r w:rsidR="00351241">
        <w:t>oil</w:t>
      </w:r>
      <w:r w:rsidR="00DE08F6">
        <w:t>s</w:t>
      </w:r>
      <w:r>
        <w:t xml:space="preserve">, which give rise to undesirable fuel </w:t>
      </w:r>
      <w:r>
        <w:lastRenderedPageBreak/>
        <w:t>properties, such as high acidity and viscosity, and the diverse chemical compositions can negatively affect combustion performance, storage stability and economic value</w:t>
      </w:r>
      <w:r w:rsidR="00B10769">
        <w:t xml:space="preserve"> </w:t>
      </w:r>
      <w:r w:rsidR="00A843E7">
        <w:fldChar w:fldCharType="begin"/>
      </w:r>
      <w:r w:rsidR="00E7405E">
        <w:instrText xml:space="preserve"> ADDIN EN.CITE &lt;EndNote&gt;&lt;Cite&gt;&lt;Author&gt;Vardon&lt;/Author&gt;&lt;Year&gt;2011&lt;/Year&gt;&lt;RecNum&gt;975&lt;/RecNum&gt;&lt;DisplayText&gt;[19, 20]&lt;/DisplayText&gt;&lt;record&gt;&lt;rec-number&gt;975&lt;/rec-number&gt;&lt;foreign-keys&gt;&lt;key app="EN" db-id="fa5pvx0a352spiedf5tvff5409zrwa0zxvsd"&gt;975&lt;/key&gt;&lt;/foreign-keys&gt;&lt;ref-type name="Journal Article"&gt;17&lt;/ref-type&gt;&lt;contributors&gt;&lt;authors&gt;&lt;author&gt;Vardon, Derek R&lt;/author&gt;&lt;author&gt;Sharma, BK&lt;/author&gt;&lt;author&gt;Scott, John&lt;/author&gt;&lt;author&gt;Yu, Guo&lt;/author&gt;&lt;author&gt;Wang, Zhichao&lt;/author&gt;&lt;author&gt;Schideman, Lance&lt;/author&gt;&lt;author&gt;Zhang, Yuanhui&lt;/author&gt;&lt;author&gt;Strathmann, Timothy J&lt;/author&gt;&lt;/authors&gt;&lt;/contributors&gt;&lt;titles&gt;&lt;title&gt;Chemical properties of biocrude oil from the hydrothermal liquefaction of Spirulina algae, swine manure, and digested anaerobic sludge&lt;/title&gt;&lt;secondary-title&gt;Bioresource Technology&lt;/secondary-title&gt;&lt;/titles&gt;&lt;periodical&gt;&lt;full-title&gt;Bioresource Technology&lt;/full-title&gt;&lt;/periodical&gt;&lt;pages&gt;8295-8303&lt;/pages&gt;&lt;volume&gt;102&lt;/volume&gt;&lt;number&gt;17&lt;/number&gt;&lt;dates&gt;&lt;year&gt;2011&lt;/year&gt;&lt;/dates&gt;&lt;isbn&gt;0960-8524&lt;/isbn&gt;&lt;urls&gt;&lt;/urls&gt;&lt;/record&gt;&lt;/Cite&gt;&lt;Cite&gt;&lt;Author&gt;Huber&lt;/Author&gt;&lt;Year&gt;2006&lt;/Year&gt;&lt;RecNum&gt;976&lt;/RecNum&gt;&lt;record&gt;&lt;rec-number&gt;976&lt;/rec-number&gt;&lt;foreign-keys&gt;&lt;key app="EN" db-id="fa5pvx0a352spiedf5tvff5409zrwa0zxvsd"&gt;976&lt;/key&gt;&lt;/foreign-keys&gt;&lt;ref-type name="Journal Article"&gt;17&lt;/ref-type&gt;&lt;contributors&gt;&lt;authors&gt;&lt;author&gt;Huber, George W&lt;/author&gt;&lt;author&gt;Iborra, Sara&lt;/author&gt;&lt;author&gt;Corma, Avelino&lt;/author&gt;&lt;/authors&gt;&lt;/contributors&gt;&lt;titles&gt;&lt;title&gt;Synthesis of transportation fuels from biomass: chemistry, catalysts, and engineering&lt;/title&gt;&lt;secondary-title&gt;Chemical Reviews&lt;/secondary-title&gt;&lt;/titles&gt;&lt;periodical&gt;&lt;full-title&gt;Chemical Reviews&lt;/full-title&gt;&lt;/periodical&gt;&lt;pages&gt;4044-4098&lt;/pages&gt;&lt;volume&gt;106&lt;/volume&gt;&lt;number&gt;9&lt;/number&gt;&lt;dates&gt;&lt;year&gt;2006&lt;/year&gt;&lt;/dates&gt;&lt;isbn&gt;0009-2665&lt;/isbn&gt;&lt;urls&gt;&lt;/urls&gt;&lt;/record&gt;&lt;/Cite&gt;&lt;/EndNote&gt;</w:instrText>
      </w:r>
      <w:r w:rsidR="00A843E7">
        <w:fldChar w:fldCharType="separate"/>
      </w:r>
      <w:r w:rsidR="00E7405E">
        <w:rPr>
          <w:noProof/>
        </w:rPr>
        <w:t>[19, 20]</w:t>
      </w:r>
      <w:r w:rsidR="00A843E7">
        <w:fldChar w:fldCharType="end"/>
      </w:r>
      <w:r>
        <w:t xml:space="preserve">. </w:t>
      </w:r>
    </w:p>
    <w:p w14:paraId="0675CB99" w14:textId="65643231" w:rsidR="009C69B1" w:rsidRDefault="00BB14EC" w:rsidP="00B50382">
      <w:pPr>
        <w:shd w:val="clear" w:color="auto" w:fill="FFFFFF"/>
        <w:spacing w:after="0" w:line="480" w:lineRule="auto"/>
        <w:ind w:firstLine="720"/>
        <w:jc w:val="both"/>
      </w:pPr>
      <w:r>
        <w:t xml:space="preserve">The </w:t>
      </w:r>
      <w:r w:rsidR="00430476">
        <w:t>hig</w:t>
      </w:r>
      <w:r w:rsidR="00167F6D">
        <w:t>h</w:t>
      </w:r>
      <w:r w:rsidR="00430476">
        <w:t>er heating value (</w:t>
      </w:r>
      <w:r w:rsidR="009C69B1">
        <w:t>HHV</w:t>
      </w:r>
      <w:r w:rsidR="00430476">
        <w:t>)</w:t>
      </w:r>
      <w:r w:rsidR="009C69B1">
        <w:t xml:space="preserve"> of</w:t>
      </w:r>
      <w:r>
        <w:t xml:space="preserve"> the oils usually fall between</w:t>
      </w:r>
      <w:r w:rsidR="009C69B1">
        <w:t xml:space="preserve"> 25–35 MJ kg</w:t>
      </w:r>
      <w:r w:rsidR="009C69B1" w:rsidRPr="007D7B77">
        <w:rPr>
          <w:vertAlign w:val="superscript"/>
        </w:rPr>
        <w:t>-1</w:t>
      </w:r>
      <w:r w:rsidR="009C69B1">
        <w:t xml:space="preserve">, </w:t>
      </w:r>
      <w:r>
        <w:t>with</w:t>
      </w:r>
      <w:r w:rsidR="009C69B1">
        <w:t xml:space="preserve"> higher lipid levels in the biomass correspond</w:t>
      </w:r>
      <w:r>
        <w:t>ing</w:t>
      </w:r>
      <w:r w:rsidR="009C69B1">
        <w:t xml:space="preserve"> to higher bio-</w:t>
      </w:r>
      <w:r w:rsidR="00351241">
        <w:t>oil</w:t>
      </w:r>
      <w:r w:rsidR="009C69B1">
        <w:t xml:space="preserve"> HHV. Although this constitutes a significant increase with respect to the starting biomass, it still falls short of the energy content of mineral </w:t>
      </w:r>
      <w:r w:rsidR="00351241">
        <w:t>oil</w:t>
      </w:r>
      <w:r w:rsidR="009C69B1">
        <w:t xml:space="preserve"> (41–48 MJ kg</w:t>
      </w:r>
      <w:r w:rsidR="009C69B1" w:rsidRPr="007D7B77">
        <w:rPr>
          <w:vertAlign w:val="superscript"/>
        </w:rPr>
        <w:t>-1</w:t>
      </w:r>
      <w:r w:rsidR="009C69B1">
        <w:t xml:space="preserve">). </w:t>
      </w:r>
      <w:r w:rsidR="00412ED5">
        <w:t>A</w:t>
      </w:r>
      <w:r w:rsidR="009C69B1">
        <w:t xml:space="preserve">lthough </w:t>
      </w:r>
      <w:r w:rsidR="00412ED5">
        <w:t xml:space="preserve">the </w:t>
      </w:r>
      <w:r w:rsidR="00B82286">
        <w:t>bio-</w:t>
      </w:r>
      <w:r w:rsidR="00351241">
        <w:t>oil</w:t>
      </w:r>
      <w:r w:rsidR="00412ED5">
        <w:t xml:space="preserve"> </w:t>
      </w:r>
      <w:r w:rsidR="009C69B1">
        <w:t xml:space="preserve">it is not suitable for use as a transport fuel without further modification, </w:t>
      </w:r>
      <w:r w:rsidR="009F42EB">
        <w:t xml:space="preserve">potentially </w:t>
      </w:r>
      <w:r w:rsidR="009C69B1">
        <w:t>it can be refined in a similar manner t</w:t>
      </w:r>
      <w:r>
        <w:t>o crude oil to give a range of</w:t>
      </w:r>
      <w:r w:rsidR="009C69B1">
        <w:t xml:space="preserve"> fuels, </w:t>
      </w:r>
      <w:r w:rsidR="00952019">
        <w:t>including gasoline,</w:t>
      </w:r>
      <w:r w:rsidR="009C69B1">
        <w:t xml:space="preserve"> </w:t>
      </w:r>
      <w:r w:rsidR="00952019">
        <w:t>diesel and</w:t>
      </w:r>
      <w:r w:rsidR="009C69B1">
        <w:t xml:space="preserve"> aviation kerosene</w:t>
      </w:r>
      <w:r w:rsidR="00A843E7">
        <w:t xml:space="preserve"> </w:t>
      </w:r>
      <w:r w:rsidR="00A843E7">
        <w:fldChar w:fldCharType="begin"/>
      </w:r>
      <w:r w:rsidR="00E7405E">
        <w:instrText xml:space="preserve"> ADDIN EN.CITE &lt;EndNote&gt;&lt;Cite&gt;&lt;Author&gt;Barreiro&lt;/Author&gt;&lt;Year&gt;2013&lt;/Year&gt;&lt;RecNum&gt;977&lt;/RecNum&gt;&lt;DisplayText&gt;[21]&lt;/DisplayText&gt;&lt;record&gt;&lt;rec-number&gt;977&lt;/rec-number&gt;&lt;foreign-keys&gt;&lt;key app="EN" db-id="fa5pvx0a352spiedf5tvff5409zrwa0zxvsd"&gt;977&lt;/key&gt;&lt;/foreign-keys&gt;&lt;ref-type name="Journal Article"&gt;17&lt;/ref-type&gt;&lt;contributors&gt;&lt;authors&gt;&lt;author&gt;Barreiro, Diego López&lt;/author&gt;&lt;author&gt;Prins, Wolter&lt;/author&gt;&lt;author&gt;Ronsse, Frederik&lt;/author&gt;&lt;author&gt;Brilman, Wim&lt;/author&gt;&lt;/authors&gt;&lt;/contributors&gt;&lt;titles&gt;&lt;title&gt;Hydrothermal liquefaction (HTL) of microalgae for biofuel production: state of the art review and future prospects&lt;/title&gt;&lt;secondary-title&gt;Biomass and Bioenergy&lt;/secondary-title&gt;&lt;/titles&gt;&lt;periodical&gt;&lt;full-title&gt;Biomass and Bioenergy&lt;/full-title&gt;&lt;/periodical&gt;&lt;pages&gt;113-127&lt;/pages&gt;&lt;volume&gt;53&lt;/volume&gt;&lt;dates&gt;&lt;year&gt;2013&lt;/year&gt;&lt;/dates&gt;&lt;isbn&gt;0961-9534&lt;/isbn&gt;&lt;urls&gt;&lt;/urls&gt;&lt;/record&gt;&lt;/Cite&gt;&lt;/EndNote&gt;</w:instrText>
      </w:r>
      <w:r w:rsidR="00A843E7">
        <w:fldChar w:fldCharType="separate"/>
      </w:r>
      <w:r w:rsidR="00E7405E">
        <w:rPr>
          <w:noProof/>
        </w:rPr>
        <w:t>[21]</w:t>
      </w:r>
      <w:r w:rsidR="00A843E7">
        <w:fldChar w:fldCharType="end"/>
      </w:r>
      <w:r w:rsidR="009C69B1">
        <w:t xml:space="preserve">. </w:t>
      </w:r>
    </w:p>
    <w:p w14:paraId="2C38B67D" w14:textId="6B098B38" w:rsidR="00E70A79" w:rsidRDefault="00E70A79" w:rsidP="00E70A79">
      <w:pPr>
        <w:shd w:val="clear" w:color="auto" w:fill="FFFFFF"/>
        <w:spacing w:after="0" w:line="480" w:lineRule="auto"/>
        <w:ind w:firstLine="720"/>
        <w:jc w:val="both"/>
      </w:pPr>
      <w:r>
        <w:t>The HTL reaction can also be accelerated by metal catalysts and a number of investigations</w:t>
      </w:r>
      <w:r w:rsidR="000A6D60">
        <w:t xml:space="preserve"> have examined their effect.</w:t>
      </w:r>
      <w:r>
        <w:t xml:space="preserve"> As algae are complex mixtures of proteins, carbohydrates, lipids and alternative </w:t>
      </w:r>
      <w:r w:rsidR="009F42EB">
        <w:t>metabolites</w:t>
      </w:r>
      <w:r>
        <w:t xml:space="preserve">, </w:t>
      </w:r>
      <w:r w:rsidR="000A6D60">
        <w:t xml:space="preserve">additional metals </w:t>
      </w:r>
      <w:r>
        <w:t xml:space="preserve">rarely effect the </w:t>
      </w:r>
      <w:r w:rsidR="000A6D60">
        <w:t>algae unifor</w:t>
      </w:r>
      <w:r w:rsidR="001146BD">
        <w:t>ml</w:t>
      </w:r>
      <w:r w:rsidR="000A6D60">
        <w:t>y across species</w:t>
      </w:r>
      <w:r w:rsidR="002E14CB">
        <w:t xml:space="preserve"> </w:t>
      </w:r>
      <w:r w:rsidR="002E14CB">
        <w:fldChar w:fldCharType="begin"/>
      </w:r>
      <w:r w:rsidR="00E7405E">
        <w:instrText xml:space="preserve"> ADDIN EN.CITE &lt;EndNote&gt;&lt;Cite&gt;&lt;Author&gt;Thomas M . Yeh&lt;/Author&gt;&lt;Year&gt;2012&lt;/Year&gt;&lt;RecNum&gt;64&lt;/RecNum&gt;&lt;DisplayText&gt;[22]&lt;/DisplayText&gt;&lt;record&gt;&lt;rec-number&gt;64&lt;/rec-number&gt;&lt;foreign-keys&gt;&lt;key app="EN" db-id="5przwrf25xtxegedzt25fvw9txt5wtpwf2rw" timestamp="1434529724"&gt;64&lt;/key&gt;&lt;/foreign-keys&gt;&lt;ref-type name="Journal Article"&gt;17&lt;/ref-type&gt;&lt;contributors&gt;&lt;authors&gt;&lt;author&gt;Thomas M . Yeh, &lt;/author&gt;&lt;author&gt;Jacob G. Dickinson, &lt;/author&gt;&lt;author&gt;Allison Franck, &lt;/author&gt;&lt;author&gt;Suljo Linic, &lt;/author&gt;&lt;author&gt;Levi T.Thompson, &lt;/author&gt;&lt;author&gt;Phillip E. Savage&lt;/author&gt;&lt;/authors&gt;&lt;/contributors&gt;&lt;titles&gt;&lt;title&gt;Hydrothermal catalytic production of fuels and chemicals from aquatic biomass&lt;/title&gt;&lt;secondary-title&gt;Journal of Chemical Technology and Biotechnology &lt;/secondary-title&gt;&lt;/titles&gt;&lt;periodical&gt;&lt;full-title&gt;Journal of Chemical Technology and Biotechnology&lt;/full-title&gt;&lt;/periodical&gt;&lt;pages&gt;13-24&lt;/pages&gt;&lt;volume&gt;88&lt;/volume&gt;&lt;number&gt;1&lt;/number&gt;&lt;dates&gt;&lt;year&gt;2012&lt;/year&gt;&lt;/dates&gt;&lt;urls&gt;&lt;/urls&gt;&lt;/record&gt;&lt;/Cite&gt;&lt;/EndNote&gt;</w:instrText>
      </w:r>
      <w:r w:rsidR="002E14CB">
        <w:fldChar w:fldCharType="separate"/>
      </w:r>
      <w:r w:rsidR="00E7405E">
        <w:rPr>
          <w:noProof/>
        </w:rPr>
        <w:t>[22]</w:t>
      </w:r>
      <w:r w:rsidR="002E14CB">
        <w:fldChar w:fldCharType="end"/>
      </w:r>
      <w:r w:rsidR="000A6D60">
        <w:t xml:space="preserve">. </w:t>
      </w:r>
      <w:r>
        <w:t xml:space="preserve">For example Biller et. al. </w:t>
      </w:r>
      <w:r w:rsidR="000A6D60">
        <w:t xml:space="preserve">demonstrated </w:t>
      </w:r>
      <w:r>
        <w:t>that Na</w:t>
      </w:r>
      <w:r w:rsidRPr="000A6D60">
        <w:rPr>
          <w:vertAlign w:val="subscript"/>
        </w:rPr>
        <w:t>2</w:t>
      </w:r>
      <w:r>
        <w:t>CO</w:t>
      </w:r>
      <w:r w:rsidRPr="000A6D60">
        <w:rPr>
          <w:vertAlign w:val="subscript"/>
        </w:rPr>
        <w:t>3</w:t>
      </w:r>
      <w:r>
        <w:t xml:space="preserve"> promoted the decomposition of carbohydrates</w:t>
      </w:r>
      <w:r w:rsidR="000A6D60">
        <w:t xml:space="preserve"> more</w:t>
      </w:r>
      <w:r>
        <w:t xml:space="preserve"> effectively</w:t>
      </w:r>
      <w:r w:rsidR="00B82286">
        <w:t>,</w:t>
      </w:r>
      <w:r w:rsidR="000A6D60">
        <w:t xml:space="preserve"> </w:t>
      </w:r>
      <w:r w:rsidR="00B82286">
        <w:t>al</w:t>
      </w:r>
      <w:r w:rsidR="000A6D60">
        <w:t xml:space="preserve">though overall the catalyst had no significant positive effect on the bio-oil yields or overall efficiency of the process </w:t>
      </w:r>
      <w:r w:rsidR="000A6D60">
        <w:fldChar w:fldCharType="begin"/>
      </w:r>
      <w:r w:rsidR="00E7405E">
        <w:instrText xml:space="preserve"> ADDIN EN.CITE &lt;EndNote&gt;&lt;Cite&gt;&lt;Author&gt;Ross&lt;/Author&gt;&lt;Year&gt;2010&lt;/Year&gt;&lt;RecNum&gt;961&lt;/RecNum&gt;&lt;DisplayText&gt;[23]&lt;/DisplayText&gt;&lt;record&gt;&lt;rec-number&gt;961&lt;/rec-number&gt;&lt;foreign-keys&gt;&lt;key app="EN" db-id="fa5pvx0a352spiedf5tvff5409zrwa0zxvsd"&gt;961&lt;/key&gt;&lt;/foreign-keys&gt;&lt;ref-type name="Journal Article"&gt;17&lt;/ref-type&gt;&lt;contributors&gt;&lt;authors&gt;&lt;author&gt;Ross, A. B.&lt;/author&gt;&lt;author&gt;Biller, P.&lt;/author&gt;&lt;author&gt;Kubacki, M. L.&lt;/author&gt;&lt;author&gt;Li, H.&lt;/author&gt;&lt;author&gt;Lea-Langton, A.&lt;/author&gt;&lt;author&gt;Jones, J. M.&lt;/author&gt;&lt;/authors&gt;&lt;/contributors&gt;&lt;titles&gt;&lt;title&gt;Hydrothermal processing of microalgae using alkali and organic acids&lt;/title&gt;&lt;secondary-title&gt;Fuel&lt;/secondary-title&gt;&lt;/titles&gt;&lt;periodical&gt;&lt;full-title&gt;Fuel&lt;/full-title&gt;&lt;/periodical&gt;&lt;pages&gt;2234-2243&lt;/pages&gt;&lt;volume&gt;89&lt;/volume&gt;&lt;number&gt;9&lt;/number&gt;&lt;keywords&gt;&lt;keyword&gt;Microalgae&lt;/keyword&gt;&lt;keyword&gt;Hydrothermal&lt;/keyword&gt;&lt;keyword&gt;Liquefaction&lt;/keyword&gt;&lt;/keywords&gt;&lt;dates&gt;&lt;year&gt;2010&lt;/year&gt;&lt;/dates&gt;&lt;isbn&gt;0016-2361&lt;/isbn&gt;&lt;urls&gt;&lt;related-urls&gt;&lt;url&gt;http://www.sciencedirect.com/science/article/pii/S0016236110000335&lt;/url&gt;&lt;/related-urls&gt;&lt;/urls&gt;&lt;electronic-resource-num&gt;http://dx.doi.org/10.1016/j.fuel.2010.01.025&lt;/electronic-resource-num&gt;&lt;/record&gt;&lt;/Cite&gt;&lt;/EndNote&gt;</w:instrText>
      </w:r>
      <w:r w:rsidR="000A6D60">
        <w:fldChar w:fldCharType="separate"/>
      </w:r>
      <w:r w:rsidR="00E7405E">
        <w:rPr>
          <w:noProof/>
        </w:rPr>
        <w:t>[23]</w:t>
      </w:r>
      <w:r w:rsidR="000A6D60">
        <w:fldChar w:fldCharType="end"/>
      </w:r>
      <w:r>
        <w:t xml:space="preserve">. </w:t>
      </w:r>
      <w:r w:rsidR="000A6D60">
        <w:t xml:space="preserve">This </w:t>
      </w:r>
      <w:r w:rsidR="00B82286">
        <w:t xml:space="preserve">is </w:t>
      </w:r>
      <w:r w:rsidR="000A6D60">
        <w:t xml:space="preserve">in direct contrast to </w:t>
      </w:r>
      <w:r w:rsidR="00B82286">
        <w:t xml:space="preserve">other </w:t>
      </w:r>
      <w:r w:rsidR="000A6D60">
        <w:t>studies</w:t>
      </w:r>
      <w:r w:rsidR="000A6D60" w:rsidRPr="000A6D60">
        <w:t xml:space="preserve"> </w:t>
      </w:r>
      <w:r w:rsidR="000A6D60">
        <w:t xml:space="preserve">that used alternative algal strains </w:t>
      </w:r>
      <w:r w:rsidR="000A6D60">
        <w:fldChar w:fldCharType="begin">
          <w:fldData xml:space="preserve">PEVuZE5vdGU+PENpdGU+PEF1dGhvcj5NaW5vd2E8L0F1dGhvcj48WWVhcj4xOTk1PC9ZZWFyPjxS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</w:fldData>
        </w:fldChar>
      </w:r>
      <w:r w:rsidR="00E7405E">
        <w:instrText xml:space="preserve"> ADDIN EN.CITE </w:instrText>
      </w:r>
      <w:r w:rsidR="00E7405E">
        <w:fldChar w:fldCharType="begin">
          <w:fldData xml:space="preserve">PEVuZE5vdGU+PENpdGU+PEF1dGhvcj5NaW5vd2E8L0F1dGhvcj48WWVhcj4xOTk1PC9ZZWFyPjxS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</w:fldData>
        </w:fldChar>
      </w:r>
      <w:r w:rsidR="00E7405E">
        <w:instrText xml:space="preserve"> ADDIN EN.CITE.DATA </w:instrText>
      </w:r>
      <w:r w:rsidR="00E7405E">
        <w:fldChar w:fldCharType="end"/>
      </w:r>
      <w:r w:rsidR="000A6D60">
        <w:fldChar w:fldCharType="separate"/>
      </w:r>
      <w:r w:rsidR="00E7405E">
        <w:rPr>
          <w:noProof/>
        </w:rPr>
        <w:t>[24, 25]</w:t>
      </w:r>
      <w:r w:rsidR="000A6D60">
        <w:fldChar w:fldCharType="end"/>
      </w:r>
      <w:r w:rsidR="000A6D60">
        <w:t xml:space="preserve">. </w:t>
      </w:r>
      <w:r>
        <w:t xml:space="preserve">Similar </w:t>
      </w:r>
      <w:r w:rsidR="00B82286">
        <w:t xml:space="preserve">variation has </w:t>
      </w:r>
      <w:r w:rsidR="000A6D60">
        <w:t xml:space="preserve">been observed for K and Li homogeneous salts </w:t>
      </w:r>
      <w:r w:rsidR="000A6D60">
        <w:fldChar w:fldCharType="begin"/>
      </w:r>
      <w:r w:rsidR="00E7405E">
        <w:instrText xml:space="preserve"> ADDIN EN.CITE &lt;EndNote&gt;&lt;Cite&gt;&lt;Author&gt;Ross&lt;/Author&gt;&lt;Year&gt;2010&lt;/Year&gt;&lt;RecNum&gt;961&lt;/RecNum&gt;&lt;DisplayText&gt;[17, 23]&lt;/DisplayText&gt;&lt;record&gt;&lt;rec-number&gt;961&lt;/rec-number&gt;&lt;foreign-keys&gt;&lt;key app="EN" db-id="fa5pvx0a352spiedf5tvff5409zrwa0zxvsd"&gt;961&lt;/key&gt;&lt;/foreign-keys&gt;&lt;ref-type name="Journal Article"&gt;17&lt;/ref-type&gt;&lt;contributors&gt;&lt;authors&gt;&lt;author&gt;Ross, A. B.&lt;/author&gt;&lt;author&gt;Biller, P.&lt;/author&gt;&lt;author&gt;Kubacki, M. L.&lt;/author&gt;&lt;author&gt;Li, H.&lt;/author&gt;&lt;author&gt;Lea-Langton, A.&lt;/author&gt;&lt;author&gt;Jones, J. M.&lt;/author&gt;&lt;/authors&gt;&lt;/contributors&gt;&lt;titles&gt;&lt;title&gt;Hydrothermal processing of microalgae using alkali and organic acids&lt;/title&gt;&lt;secondary-title&gt;Fuel&lt;/secondary-title&gt;&lt;/titles&gt;&lt;periodical&gt;&lt;full-title&gt;Fuel&lt;/full-title&gt;&lt;/periodical&gt;&lt;pages&gt;2234-2243&lt;/pages&gt;&lt;volume&gt;89&lt;/volume&gt;&lt;number&gt;9&lt;/number&gt;&lt;keywords&gt;&lt;keyword&gt;Microalgae&lt;/keyword&gt;&lt;keyword&gt;Hydrothermal&lt;/keyword&gt;&lt;keyword&gt;Liquefaction&lt;/keyword&gt;&lt;/keywords&gt;&lt;dates&gt;&lt;year&gt;2010&lt;/year&gt;&lt;/dates&gt;&lt;isbn&gt;0016-2361&lt;/isbn&gt;&lt;urls&gt;&lt;related-urls&gt;&lt;url&gt;http://www.sciencedirect.com/science/article/pii/S0016236110000335&lt;/url&gt;&lt;/related-urls&gt;&lt;/urls&gt;&lt;electronic-resource-num&gt;http://dx.doi.org/10.1016/j.fuel.2010.01.025&lt;/electronic-resource-num&gt;&lt;/record&gt;&lt;/Cite&gt;&lt;Cite&gt;&lt;Author&gt;Biller&lt;/Author&gt;&lt;Year&gt;2011&lt;/Year&gt;&lt;RecNum&gt;987&lt;/RecNum&gt;&lt;record&gt;&lt;rec-number&gt;987&lt;/rec-number&gt;&lt;foreign-keys&gt;&lt;key app="EN" db-id="fa5pvx0a352spiedf5tvff5409zrwa0zxvsd"&gt;987&lt;/key&gt;&lt;/foreign-keys&gt;&lt;ref-type name="Journal Article"&gt;17&lt;/ref-type&gt;&lt;contributors&gt;&lt;authors&gt;&lt;author&gt;Biller, P&lt;/author&gt;&lt;author&gt;Ross, AB&lt;/author&gt;&lt;/authors&gt;&lt;/contributors&gt;&lt;titles&gt;&lt;title&gt;Potential yields and properties of oil from the hydrothermal liquefaction of microalgae with different biochemical content&lt;/title&gt;&lt;secondary-title&gt;Bioresource technology&lt;/secondary-title&gt;&lt;/titles&gt;&lt;periodical&gt;&lt;full-title&gt;Bioresource Technology&lt;/full-title&gt;&lt;/periodical&gt;&lt;pages&gt;215-225&lt;/pages&gt;&lt;volume&gt;102&lt;/volume&gt;&lt;number&gt;1&lt;/number&gt;&lt;dates&gt;&lt;year&gt;2011&lt;/year&gt;&lt;/dates&gt;&lt;isbn&gt;0960-8524&lt;/isbn&gt;&lt;urls&gt;&lt;/urls&gt;&lt;/record&gt;&lt;/Cite&gt;&lt;/EndNote&gt;</w:instrText>
      </w:r>
      <w:r w:rsidR="000A6D60">
        <w:fldChar w:fldCharType="separate"/>
      </w:r>
      <w:r w:rsidR="00E7405E">
        <w:rPr>
          <w:noProof/>
        </w:rPr>
        <w:t>[17, 23]</w:t>
      </w:r>
      <w:r w:rsidR="000A6D60">
        <w:fldChar w:fldCharType="end"/>
      </w:r>
      <w:r w:rsidR="00B82286">
        <w:t>, where</w:t>
      </w:r>
      <w:r w:rsidR="000A6D60">
        <w:t xml:space="preserve"> </w:t>
      </w:r>
      <w:r w:rsidR="00B82286">
        <w:t xml:space="preserve">reaction </w:t>
      </w:r>
      <w:r w:rsidR="000A6D60">
        <w:t xml:space="preserve">temperature appears to be the major contributing factor involved in the </w:t>
      </w:r>
      <w:r w:rsidR="002E14CB">
        <w:t>yield and product distribution</w:t>
      </w:r>
      <w:r w:rsidR="000A6D60">
        <w:t xml:space="preserve"> </w:t>
      </w:r>
      <w:r w:rsidR="000A6D60">
        <w:fldChar w:fldCharType="begin"/>
      </w:r>
      <w:r w:rsidR="00E7405E">
        <w:instrText xml:space="preserve"> ADDIN EN.CITE &lt;EndNote&gt;&lt;Cite&gt;&lt;Author&gt;Thomas M . Yeh&lt;/Author&gt;&lt;Year&gt;2012&lt;/Year&gt;&lt;RecNum&gt;64&lt;/RecNum&gt;&lt;DisplayText&gt;[22]&lt;/DisplayText&gt;&lt;record&gt;&lt;rec-number&gt;64&lt;/rec-number&gt;&lt;foreign-keys&gt;&lt;key app="EN" db-id="5przwrf25xtxegedzt25fvw9txt5wtpwf2rw" timestamp="1434529724"&gt;64&lt;/key&gt;&lt;/foreign-keys&gt;&lt;ref-type name="Journal Article"&gt;17&lt;/ref-type&gt;&lt;contributors&gt;&lt;authors&gt;&lt;author&gt;Thomas M . Yeh, &lt;/author&gt;&lt;author&gt;Jacob G. Dickinson, &lt;/author&gt;&lt;author&gt;Allison Franck, &lt;/author&gt;&lt;author&gt;Suljo Linic, &lt;/author&gt;&lt;author&gt;Levi T.Thompson, &lt;/author&gt;&lt;author&gt;Phillip E. Savage&lt;/author&gt;&lt;/authors&gt;&lt;/contributors&gt;&lt;titles&gt;&lt;title&gt;Hydrothermal catalytic production of fuels and chemicals from aquatic biomass&lt;/title&gt;&lt;secondary-title&gt;Journal of Chemical Technology and Biotechnology &lt;/secondary-title&gt;&lt;/titles&gt;&lt;periodical&gt;&lt;full-title&gt;Journal of Chemical Technology and Biotechnology&lt;/full-title&gt;&lt;/periodical&gt;&lt;pages&gt;13-24&lt;/pages&gt;&lt;volume&gt;88&lt;/volume&gt;&lt;number&gt;1&lt;/number&gt;&lt;dates&gt;&lt;year&gt;2012&lt;/year&gt;&lt;/dates&gt;&lt;urls&gt;&lt;/urls&gt;&lt;/record&gt;&lt;/Cite&gt;&lt;/EndNote&gt;</w:instrText>
      </w:r>
      <w:r w:rsidR="000A6D60">
        <w:fldChar w:fldCharType="separate"/>
      </w:r>
      <w:r w:rsidR="00E7405E">
        <w:rPr>
          <w:noProof/>
        </w:rPr>
        <w:t>[22]</w:t>
      </w:r>
      <w:r w:rsidR="000A6D60">
        <w:fldChar w:fldCharType="end"/>
      </w:r>
      <w:r w:rsidR="000A6D60">
        <w:t>.</w:t>
      </w:r>
    </w:p>
    <w:p w14:paraId="3D8EA854" w14:textId="4581BC23" w:rsidR="00E70A79" w:rsidRDefault="00E70A79" w:rsidP="000A6D60">
      <w:pPr>
        <w:shd w:val="clear" w:color="auto" w:fill="FFFFFF"/>
        <w:spacing w:after="0" w:line="480" w:lineRule="auto"/>
        <w:ind w:firstLine="720"/>
        <w:jc w:val="both"/>
      </w:pPr>
      <w:r>
        <w:t>He</w:t>
      </w:r>
      <w:r w:rsidR="000A6D60">
        <w:t xml:space="preserve">terogeneous catalysts </w:t>
      </w:r>
      <w:r w:rsidR="00DE08F6">
        <w:t xml:space="preserve">potentially present a </w:t>
      </w:r>
      <w:r w:rsidR="000A6D60">
        <w:t xml:space="preserve">more attractive option for ease of </w:t>
      </w:r>
      <w:r w:rsidR="000E355E">
        <w:t>separation</w:t>
      </w:r>
      <w:r w:rsidR="000A6D60">
        <w:t xml:space="preserve">, especially considering the temperatures necessary for HTL processing. </w:t>
      </w:r>
      <w:r w:rsidR="002E14CB">
        <w:t xml:space="preserve">For example, </w:t>
      </w:r>
      <w:r w:rsidR="000A6D60">
        <w:t>Duan and Savage examined a variety of common industrial catalysts (Pd/C, Pt/C, Ru/C, Ni/SiO</w:t>
      </w:r>
      <w:r w:rsidR="000A6D60" w:rsidRPr="002E14CB">
        <w:rPr>
          <w:vertAlign w:val="subscript"/>
        </w:rPr>
        <w:t>2</w:t>
      </w:r>
      <w:r w:rsidR="000A6D60">
        <w:t>-Al</w:t>
      </w:r>
      <w:r w:rsidR="000A6D60" w:rsidRPr="002E14CB">
        <w:rPr>
          <w:vertAlign w:val="subscript"/>
        </w:rPr>
        <w:t>2</w:t>
      </w:r>
      <w:r w:rsidR="000A6D60">
        <w:t>O</w:t>
      </w:r>
      <w:r w:rsidR="000A6D60" w:rsidRPr="002E14CB">
        <w:rPr>
          <w:vertAlign w:val="subscript"/>
        </w:rPr>
        <w:t>3</w:t>
      </w:r>
      <w:r w:rsidR="000A6D60">
        <w:t>, sulfided CoMo/γ -Al</w:t>
      </w:r>
      <w:r w:rsidR="000A6D60" w:rsidRPr="002E14CB">
        <w:rPr>
          <w:vertAlign w:val="subscript"/>
        </w:rPr>
        <w:t>2</w:t>
      </w:r>
      <w:r w:rsidR="000A6D60">
        <w:t>O</w:t>
      </w:r>
      <w:r w:rsidR="000A6D60" w:rsidRPr="002E14CB">
        <w:rPr>
          <w:vertAlign w:val="subscript"/>
        </w:rPr>
        <w:t>3</w:t>
      </w:r>
      <w:r w:rsidR="000A6D60">
        <w:t xml:space="preserve"> and a zeolite) under hydrogen and inert conditions </w:t>
      </w:r>
      <w:r w:rsidR="002E14CB">
        <w:t>in</w:t>
      </w:r>
      <w:r w:rsidR="000A6D60">
        <w:t xml:space="preserve"> batch </w:t>
      </w:r>
      <w:r w:rsidR="002E14CB">
        <w:t>reactions</w:t>
      </w:r>
      <w:r w:rsidR="000A6D60">
        <w:t xml:space="preserve">. Under these conditions they found that </w:t>
      </w:r>
      <w:r w:rsidR="002E14CB">
        <w:t xml:space="preserve">generally </w:t>
      </w:r>
      <w:r w:rsidR="000A6D60">
        <w:t xml:space="preserve">the bio-oil yield was increased substantially, </w:t>
      </w:r>
      <w:r w:rsidR="002E14CB">
        <w:t xml:space="preserve">in some cases </w:t>
      </w:r>
      <w:r w:rsidR="000A6D60">
        <w:t xml:space="preserve">from 34% up to 57% of the total biomass </w:t>
      </w:r>
      <w:r w:rsidR="000A6D60">
        <w:fldChar w:fldCharType="begin"/>
      </w:r>
      <w:r w:rsidR="00E7405E">
        <w:instrText xml:space="preserve"> ADDIN EN.CITE &lt;EndNote&gt;&lt;Cite&gt;&lt;Author&gt;Duan&lt;/Author&gt;&lt;Year&gt;2011&lt;/Year&gt;&lt;RecNum&gt;14&lt;/RecNum&gt;&lt;DisplayText&gt;[26]&lt;/DisplayText&gt;&lt;record&gt;&lt;rec-number&gt;14&lt;/rec-number&gt;&lt;foreign-keys&gt;&lt;key app="EN" db-id="5przwrf25xtxegedzt25fvw9txt5wtpwf2rw" timestamp="1434526227"&gt;14&lt;/key&gt;&lt;/foreign-keys&gt;&lt;ref-type name="Journal Article"&gt;17&lt;/ref-type&gt;&lt;contributors&gt;&lt;authors&gt;&lt;author&gt;Duan, Peigao&lt;/author&gt;&lt;author&gt;Savage, Phillip E.&lt;/author&gt;&lt;/authors&gt;&lt;/contributors&gt;&lt;titles&gt;&lt;title&gt;Catalytic hydrothermal hydrodenitrogenation of pyridine&lt;/title&gt;&lt;secondary-title&gt;Applied Catalysis B-Environmental&lt;/secondary-title&gt;&lt;/titles&gt;&lt;periodical&gt;&lt;full-title&gt;Applied Catalysis B-Environmental&lt;/full-title&gt;&lt;/periodical&gt;&lt;pages&gt;54-60&lt;/pages&gt;&lt;volume&gt;108&lt;/volume&gt;&lt;number&gt;1-2&lt;/number&gt;&lt;dates&gt;&lt;year&gt;2011&lt;/year&gt;&lt;pub-dates&gt;&lt;date&gt;Oct 11&lt;/date&gt;&lt;/pub-dates&gt;&lt;/dates&gt;&lt;isbn&gt;0926-3373&lt;/isbn&gt;&lt;accession-num&gt;WOS:000296044300008&lt;/accession-num&gt;&lt;urls&gt;&lt;related-urls&gt;&lt;url&gt;&amp;lt;Go to ISI&amp;gt;://WOS:000296044300008&lt;/url&gt;&lt;/related-urls&gt;&lt;/urls&gt;&lt;electronic-resource-num&gt;10.1016/j.apcatb.2011.08.007&lt;/electronic-resource-num&gt;&lt;/record&gt;&lt;/Cite&gt;&lt;/EndNote&gt;</w:instrText>
      </w:r>
      <w:r w:rsidR="000A6D60">
        <w:fldChar w:fldCharType="separate"/>
      </w:r>
      <w:r w:rsidR="00E7405E">
        <w:rPr>
          <w:noProof/>
        </w:rPr>
        <w:t>[26]</w:t>
      </w:r>
      <w:r w:rsidR="000A6D60">
        <w:fldChar w:fldCharType="end"/>
      </w:r>
      <w:r w:rsidR="000A6D60">
        <w:t xml:space="preserve">. </w:t>
      </w:r>
    </w:p>
    <w:p w14:paraId="415B78F0" w14:textId="409E8113" w:rsidR="00952019" w:rsidRDefault="009C69B1" w:rsidP="00952019">
      <w:pPr>
        <w:shd w:val="clear" w:color="auto" w:fill="FFFFFF"/>
        <w:spacing w:after="0" w:line="480" w:lineRule="auto"/>
        <w:ind w:firstLine="720"/>
        <w:jc w:val="both"/>
      </w:pPr>
      <w:r>
        <w:t>To create an economic</w:t>
      </w:r>
      <w:r w:rsidR="001E2B45">
        <w:t>al</w:t>
      </w:r>
      <w:r>
        <w:t xml:space="preserve"> biorefinery it is necessary to consider upstream factors, as well as final product quality. Despite the advantages conferred by HTL, cultivation of algal biomass is still a relatively energy-intensive process, and requires high inputs of water, nutrients and CO</w:t>
      </w:r>
      <w:r w:rsidRPr="00A843E7">
        <w:rPr>
          <w:vertAlign w:val="subscript"/>
        </w:rPr>
        <w:t>2</w:t>
      </w:r>
      <w:r w:rsidR="00A843E7">
        <w:t xml:space="preserve"> </w:t>
      </w:r>
      <w:r w:rsidR="00A843E7">
        <w:fldChar w:fldCharType="begin"/>
      </w:r>
      <w:r w:rsidR="00E7405E">
        <w:instrText xml:space="preserve"> ADDIN EN.CITE &lt;EndNote&gt;&lt;Cite&gt;&lt;Author&gt;Aitken&lt;/Author&gt;&lt;Year&gt;2012&lt;/Year&gt;&lt;RecNum&gt;978&lt;/RecNum&gt;&lt;DisplayText&gt;[27]&lt;/DisplayText&gt;&lt;record&gt;&lt;rec-number&gt;978&lt;/rec-number&gt;&lt;foreign-keys&gt;&lt;key app="EN" db-id="fa5pvx0a352spiedf5tvff5409zrwa0zxvsd"&gt;978&lt;/key&gt;&lt;/foreign-keys&gt;&lt;ref-type name="Journal Article"&gt;17&lt;/ref-type&gt;&lt;contributors&gt;&lt;authors&gt;&lt;author&gt;Aitken, Douglas&lt;/author&gt;&lt;author&gt;Antizar-Ladislao, Blanca&lt;/author&gt;&lt;/authors&gt;&lt;/contributors&gt;&lt;titles&gt;&lt;title&gt;Achieving a green solution: limitations and focus points for sustainable algal fuels&lt;/title&gt;&lt;secondary-title&gt;Energies&lt;/secondary-title&gt;&lt;/titles&gt;&lt;periodical&gt;&lt;full-title&gt;Energies&lt;/full-title&gt;&lt;/periodical&gt;&lt;pages&gt;1613-1647&lt;/pages&gt;&lt;volume&gt;5&lt;/volume&gt;&lt;number&gt;5&lt;/number&gt;&lt;dates&gt;&lt;year&gt;2012&lt;/year&gt;&lt;/dates&gt;&lt;urls&gt;&lt;/urls&gt;&lt;/record&gt;&lt;/Cite&gt;&lt;/EndNote&gt;</w:instrText>
      </w:r>
      <w:r w:rsidR="00A843E7">
        <w:fldChar w:fldCharType="separate"/>
      </w:r>
      <w:r w:rsidR="00E7405E">
        <w:rPr>
          <w:noProof/>
        </w:rPr>
        <w:t>[27]</w:t>
      </w:r>
      <w:r w:rsidR="00A843E7">
        <w:fldChar w:fldCharType="end"/>
      </w:r>
      <w:r>
        <w:t xml:space="preserve">. As well </w:t>
      </w:r>
      <w:r>
        <w:lastRenderedPageBreak/>
        <w:t>as optimising bio-</w:t>
      </w:r>
      <w:r w:rsidR="00351241">
        <w:t>oil</w:t>
      </w:r>
      <w:r w:rsidR="009F42EB">
        <w:t xml:space="preserve"> yields;</w:t>
      </w:r>
      <w:r>
        <w:t xml:space="preserve"> maximising carbon e</w:t>
      </w:r>
      <w:r w:rsidR="009F42EB">
        <w:t>fficiency, efficient water /</w:t>
      </w:r>
      <w:r>
        <w:t xml:space="preserve"> nutrient recycling and ensuring an inexpensive source of CO</w:t>
      </w:r>
      <w:r w:rsidRPr="007D7B77">
        <w:rPr>
          <w:vertAlign w:val="subscript"/>
        </w:rPr>
        <w:t>2</w:t>
      </w:r>
      <w:r>
        <w:t xml:space="preserve"> are crucial to the success of algal biofuel production</w:t>
      </w:r>
      <w:r w:rsidR="00544F23">
        <w:t xml:space="preserve"> </w:t>
      </w:r>
      <w:r w:rsidR="00544F23">
        <w:fldChar w:fldCharType="begin"/>
      </w:r>
      <w:r w:rsidR="00E7405E">
        <w:instrText xml:space="preserve"> ADDIN EN.CITE &lt;EndNote&gt;&lt;Cite&gt;&lt;Author&gt;Biller&lt;/Author&gt;&lt;Year&gt;2012&lt;/Year&gt;&lt;RecNum&gt;979&lt;/RecNum&gt;&lt;DisplayText&gt;[28]&lt;/DisplayText&gt;&lt;record&gt;&lt;rec-number&gt;979&lt;/rec-number&gt;&lt;foreign-keys&gt;&lt;key app="EN" db-id="fa5pvx0a352spiedf5tvff5409zrwa0zxvsd"&gt;979&lt;/key&gt;&lt;/foreign-keys&gt;&lt;ref-type name="Journal Article"&gt;17&lt;/ref-type&gt;&lt;contributors&gt;&lt;authors&gt;&lt;author&gt;Biller, Patrick&lt;/author&gt;&lt;author&gt;Ross, Andrew B&lt;/author&gt;&lt;author&gt;Skill, SC&lt;/author&gt;&lt;author&gt;Lea-Langton, A&lt;/author&gt;&lt;author&gt;Balasundaram, B&lt;/author&gt;&lt;author&gt;Hall, C&lt;/author&gt;&lt;author&gt;Riley, R&lt;/author&gt;&lt;author&gt;Llewellyn, CA&lt;/author&gt;&lt;/authors&gt;&lt;/contributors&gt;&lt;titles&gt;&lt;title&gt;Nutrient recycling of aqueous phase for microalgae cultivation from the hydrothermal liquefaction process&lt;/title&gt;&lt;secondary-title&gt;Algal Research&lt;/secondary-title&gt;&lt;/titles&gt;&lt;periodical&gt;&lt;full-title&gt;Algal Research&lt;/full-title&gt;&lt;/periodical&gt;&lt;pages&gt;70-76&lt;/pages&gt;&lt;volume&gt;1&lt;/volume&gt;&lt;number&gt;1&lt;/number&gt;&lt;dates&gt;&lt;year&gt;2012&lt;/year&gt;&lt;/dates&gt;&lt;isbn&gt;2211-9264&lt;/isbn&gt;&lt;urls&gt;&lt;/urls&gt;&lt;/record&gt;&lt;/Cite&gt;&lt;/EndNote&gt;</w:instrText>
      </w:r>
      <w:r w:rsidR="00544F23">
        <w:fldChar w:fldCharType="separate"/>
      </w:r>
      <w:r w:rsidR="00E7405E">
        <w:rPr>
          <w:noProof/>
        </w:rPr>
        <w:t>[28]</w:t>
      </w:r>
      <w:r w:rsidR="00544F23">
        <w:fldChar w:fldCharType="end"/>
      </w:r>
      <w:r>
        <w:t xml:space="preserve">. </w:t>
      </w:r>
    </w:p>
    <w:p w14:paraId="21B34EFC" w14:textId="74108C18" w:rsidR="00256A5C" w:rsidRDefault="009C69B1" w:rsidP="009156AC">
      <w:pPr>
        <w:shd w:val="clear" w:color="auto" w:fill="FFFFFF"/>
        <w:spacing w:after="0" w:line="480" w:lineRule="auto"/>
        <w:ind w:firstLine="720"/>
        <w:jc w:val="both"/>
      </w:pPr>
      <w:r>
        <w:t xml:space="preserve">In this </w:t>
      </w:r>
      <w:r w:rsidR="00952019">
        <w:t>investigation</w:t>
      </w:r>
      <w:r>
        <w:t xml:space="preserve"> the </w:t>
      </w:r>
      <w:r w:rsidR="007E5945">
        <w:t xml:space="preserve">suitability of using HTL to process metal contaminated algal biomass </w:t>
      </w:r>
      <w:r w:rsidR="00680DF5">
        <w:t>was assessed. Firstly</w:t>
      </w:r>
      <w:r w:rsidR="007E5945">
        <w:t xml:space="preserve">, </w:t>
      </w:r>
      <w:r w:rsidR="007E5945" w:rsidRPr="00952019">
        <w:t>Spirulina</w:t>
      </w:r>
      <w:r w:rsidR="001E2B45">
        <w:t xml:space="preserve"> (</w:t>
      </w:r>
      <w:r w:rsidR="001E2B45">
        <w:rPr>
          <w:i/>
        </w:rPr>
        <w:t>Arthrospira platensis)</w:t>
      </w:r>
      <w:r w:rsidR="007E5945" w:rsidRPr="00952019">
        <w:t xml:space="preserve"> </w:t>
      </w:r>
      <w:r w:rsidR="007E5945">
        <w:t xml:space="preserve">with representative levels of </w:t>
      </w:r>
      <w:r w:rsidR="007E5945" w:rsidRPr="00823FA3">
        <w:t xml:space="preserve">metal sulfates </w:t>
      </w:r>
      <w:r w:rsidR="007E5945">
        <w:t xml:space="preserve">were processed </w:t>
      </w:r>
      <w:r w:rsidR="007E5945" w:rsidRPr="00823FA3">
        <w:t>in a batch HTL system</w:t>
      </w:r>
      <w:r w:rsidR="00167F6D">
        <w:t xml:space="preserve">. </w:t>
      </w:r>
      <w:r w:rsidR="007E5945">
        <w:t xml:space="preserve">Finally, </w:t>
      </w:r>
      <w:r w:rsidR="00DE08F6">
        <w:t xml:space="preserve">two </w:t>
      </w:r>
      <w:r w:rsidR="007E5945">
        <w:t xml:space="preserve">algal cultures </w:t>
      </w:r>
      <w:r w:rsidR="00B82286">
        <w:t>cultivated on</w:t>
      </w:r>
      <w:r w:rsidR="007E5945">
        <w:t xml:space="preserve"> AMD were converted under the optimal conditions </w:t>
      </w:r>
      <w:r w:rsidR="00BB14EC">
        <w:t xml:space="preserve">to </w:t>
      </w:r>
      <w:r>
        <w:t xml:space="preserve">assess the viability of encompassing </w:t>
      </w:r>
      <w:r w:rsidR="00952019">
        <w:t xml:space="preserve">a </w:t>
      </w:r>
      <w:r>
        <w:t xml:space="preserve">combination of </w:t>
      </w:r>
      <w:r w:rsidR="00952019">
        <w:t>AMD remediation and biofuel production (figure 1).</w:t>
      </w:r>
      <w:r w:rsidR="00167F6D">
        <w:t xml:space="preserve"> </w:t>
      </w:r>
      <w:r w:rsidR="00B82286">
        <w:t>Here, we aim to d</w:t>
      </w:r>
      <w:r w:rsidR="00B82286" w:rsidRPr="00B82286">
        <w:t xml:space="preserve">etermine how metals affect the yield </w:t>
      </w:r>
      <w:r w:rsidR="00256A5C">
        <w:t xml:space="preserve">and composition of the HTL </w:t>
      </w:r>
      <w:r w:rsidR="00256A5C" w:rsidRPr="00256A5C">
        <w:t>reaction products</w:t>
      </w:r>
      <w:r w:rsidR="00256A5C">
        <w:t xml:space="preserve"> </w:t>
      </w:r>
      <w:r w:rsidR="00256A5C" w:rsidRPr="00256A5C">
        <w:t>(</w:t>
      </w:r>
      <w:r w:rsidR="00256A5C">
        <w:t xml:space="preserve">the </w:t>
      </w:r>
      <w:r w:rsidR="00256A5C" w:rsidRPr="00256A5C">
        <w:t xml:space="preserve">solid, aqueous, oil </w:t>
      </w:r>
      <w:r w:rsidR="00256A5C">
        <w:t xml:space="preserve">and gaseous </w:t>
      </w:r>
      <w:r w:rsidR="00256A5C" w:rsidRPr="00256A5C">
        <w:t>phases)</w:t>
      </w:r>
      <w:r w:rsidR="00256A5C">
        <w:t xml:space="preserve"> and assess the viability</w:t>
      </w:r>
      <w:r w:rsidR="009156AC">
        <w:t xml:space="preserve"> and usefulness</w:t>
      </w:r>
      <w:r w:rsidR="00256A5C">
        <w:t xml:space="preserve"> of these products for exploitation as</w:t>
      </w:r>
      <w:r w:rsidR="009156AC">
        <w:t xml:space="preserve"> a</w:t>
      </w:r>
      <w:r w:rsidR="00256A5C">
        <w:t xml:space="preserve"> biofuel, metal</w:t>
      </w:r>
      <w:r w:rsidR="009156AC">
        <w:t xml:space="preserve"> remediation</w:t>
      </w:r>
      <w:r w:rsidR="00256A5C">
        <w:t xml:space="preserve"> and for the recycling of nutrients to promote </w:t>
      </w:r>
      <w:r w:rsidR="009156AC">
        <w:t>further microalgal growth.</w:t>
      </w:r>
    </w:p>
    <w:p w14:paraId="05455002" w14:textId="77777777" w:rsidR="00256A5C" w:rsidRDefault="00256A5C" w:rsidP="00952019">
      <w:pPr>
        <w:shd w:val="clear" w:color="auto" w:fill="FFFFFF"/>
        <w:spacing w:after="0" w:line="480" w:lineRule="auto"/>
        <w:ind w:firstLine="720"/>
        <w:jc w:val="both"/>
      </w:pPr>
    </w:p>
    <w:p w14:paraId="131845FE" w14:textId="77777777" w:rsidR="007E5945" w:rsidRDefault="000060A6" w:rsidP="00B50382">
      <w:pPr>
        <w:spacing w:line="480" w:lineRule="auto"/>
        <w:jc w:val="both"/>
      </w:pPr>
      <w:r w:rsidRPr="000060A6">
        <w:rPr>
          <w:noProof/>
          <w:lang w:eastAsia="en-GB"/>
        </w:rPr>
        <mc:AlternateContent>
          <mc:Choice Requires="wpg">
            <w:drawing>
              <wp:inline distT="0" distB="0" distL="0" distR="0" wp14:anchorId="0F1AC93B" wp14:editId="11A6A8B7">
                <wp:extent cx="2863852" cy="2443476"/>
                <wp:effectExtent l="0" t="0" r="12700" b="14605"/>
                <wp:docPr id="62" name="Group 61"/>
                <wp:cNvGraphicFramePr/>
                <a:graphic xmlns:a="http://schemas.openxmlformats.org/drawingml/2006/main">
                  <a:graphicData uri="http://schemas.microsoft.com/office/word/2010/wordprocessingGroup">
                    <wpg:wgp>
                      <wpg:cNvGrpSpPr/>
                      <wpg:grpSpPr>
                        <a:xfrm>
                          <a:off x="0" y="0"/>
                          <a:ext cx="2863852" cy="2443476"/>
                          <a:chOff x="0" y="-38100"/>
                          <a:chExt cx="2863852" cy="2443476"/>
                        </a:xfrm>
                      </wpg:grpSpPr>
                      <wps:wsp>
                        <wps:cNvPr id="2" name="Rounded Rectangle 2"/>
                        <wps:cNvSpPr/>
                        <wps:spPr bwMode="auto">
                          <a:xfrm>
                            <a:off x="0" y="592828"/>
                            <a:ext cx="557398" cy="404930"/>
                          </a:xfrm>
                          <a:prstGeom prst="roundRect">
                            <a:avLst/>
                          </a:prstGeom>
                          <a:ln/>
                          <a:extLst/>
                        </wps:spPr>
                        <wps:style>
                          <a:lnRef idx="2">
                            <a:schemeClr val="accent6"/>
                          </a:lnRef>
                          <a:fillRef idx="1">
                            <a:schemeClr val="lt1"/>
                          </a:fillRef>
                          <a:effectRef idx="0">
                            <a:schemeClr val="accent6"/>
                          </a:effectRef>
                          <a:fontRef idx="minor">
                            <a:schemeClr val="dk1"/>
                          </a:fontRef>
                        </wps:style>
                        <wps:txbx>
                          <w:txbxContent>
                            <w:p w14:paraId="293CC148"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Algal</w:t>
                              </w:r>
                            </w:p>
                            <w:p w14:paraId="1ACFA786"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culture</w:t>
                              </w:r>
                            </w:p>
                          </w:txbxContent>
                        </wps:txbx>
                        <wps:bodyPr vert="horz" wrap="square" lIns="72000" tIns="36000" rIns="72000" bIns="36000" numCol="1" rtlCol="0" anchor="ctr" anchorCtr="0" compatLnSpc="1">
                          <a:prstTxWarp prst="textNoShape">
                            <a:avLst/>
                          </a:prstTxWarp>
                          <a:noAutofit/>
                        </wps:bodyPr>
                      </wps:wsp>
                      <wps:wsp>
                        <wps:cNvPr id="3" name="Rounded Rectangle 3"/>
                        <wps:cNvSpPr/>
                        <wps:spPr bwMode="auto">
                          <a:xfrm>
                            <a:off x="719078" y="539312"/>
                            <a:ext cx="557398" cy="506164"/>
                          </a:xfrm>
                          <a:prstGeom prst="roundRect">
                            <a:avLst/>
                          </a:prstGeom>
                          <a:ln/>
                          <a:extLst/>
                        </wps:spPr>
                        <wps:style>
                          <a:lnRef idx="2">
                            <a:schemeClr val="accent6"/>
                          </a:lnRef>
                          <a:fillRef idx="1">
                            <a:schemeClr val="lt1"/>
                          </a:fillRef>
                          <a:effectRef idx="0">
                            <a:schemeClr val="accent6"/>
                          </a:effectRef>
                          <a:fontRef idx="minor">
                            <a:schemeClr val="dk1"/>
                          </a:fontRef>
                        </wps:style>
                        <wps:txbx>
                          <w:txbxContent>
                            <w:p w14:paraId="482BB543"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HTL</w:t>
                              </w:r>
                            </w:p>
                          </w:txbxContent>
                        </wps:txbx>
                        <wps:bodyPr vert="horz" wrap="square" lIns="72000" tIns="36000" rIns="72000" bIns="36000" numCol="1" rtlCol="0" anchor="ctr" anchorCtr="0" compatLnSpc="1">
                          <a:prstTxWarp prst="textNoShape">
                            <a:avLst/>
                          </a:prstTxWarp>
                          <a:noAutofit/>
                        </wps:bodyPr>
                      </wps:wsp>
                      <wps:wsp>
                        <wps:cNvPr id="4" name="Rounded Rectangle 4"/>
                        <wps:cNvSpPr/>
                        <wps:spPr bwMode="auto">
                          <a:xfrm>
                            <a:off x="1436370" y="518928"/>
                            <a:ext cx="557398" cy="526519"/>
                          </a:xfrm>
                          <a:prstGeom prst="roundRect">
                            <a:avLst/>
                          </a:prstGeom>
                          <a:ln/>
                          <a:extLst/>
                        </wps:spPr>
                        <wps:style>
                          <a:lnRef idx="2">
                            <a:schemeClr val="dk1"/>
                          </a:lnRef>
                          <a:fillRef idx="1">
                            <a:schemeClr val="lt1"/>
                          </a:fillRef>
                          <a:effectRef idx="0">
                            <a:schemeClr val="dk1"/>
                          </a:effectRef>
                          <a:fontRef idx="minor">
                            <a:schemeClr val="dk1"/>
                          </a:fontRef>
                        </wps:style>
                        <wps:txbx>
                          <w:txbxContent>
                            <w:p w14:paraId="54596E6C" w14:textId="3A9E7C7A"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Bio-oil</w:t>
                              </w:r>
                            </w:p>
                          </w:txbxContent>
                        </wps:txbx>
                        <wps:bodyPr vert="horz" wrap="square" lIns="72000" tIns="36000" rIns="72000" bIns="36000" numCol="1" rtlCol="0" anchor="ctr" anchorCtr="0" compatLnSpc="1">
                          <a:prstTxWarp prst="textNoShape">
                            <a:avLst/>
                          </a:prstTxWarp>
                          <a:noAutofit/>
                        </wps:bodyPr>
                      </wps:wsp>
                      <wps:wsp>
                        <wps:cNvPr id="5" name="Rounded Rectangle 5"/>
                        <wps:cNvSpPr/>
                        <wps:spPr bwMode="auto">
                          <a:xfrm>
                            <a:off x="719077" y="-38100"/>
                            <a:ext cx="557398" cy="442926"/>
                          </a:xfrm>
                          <a:prstGeom prst="roundRect">
                            <a:avLst/>
                          </a:prstGeom>
                          <a:ln/>
                          <a:extLst/>
                        </wps:spPr>
                        <wps:style>
                          <a:lnRef idx="2">
                            <a:schemeClr val="dk1"/>
                          </a:lnRef>
                          <a:fillRef idx="1">
                            <a:schemeClr val="lt1"/>
                          </a:fillRef>
                          <a:effectRef idx="0">
                            <a:schemeClr val="dk1"/>
                          </a:effectRef>
                          <a:fontRef idx="minor">
                            <a:schemeClr val="dk1"/>
                          </a:fontRef>
                        </wps:style>
                        <wps:txbx>
                          <w:txbxContent>
                            <w:p w14:paraId="17D7DCA3"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Bio-gas (CO</w:t>
                              </w:r>
                              <w:r>
                                <w:rPr>
                                  <w:rFonts w:asciiTheme="minorHAnsi" w:eastAsia="Times New Roman" w:hAnsi="Calibri" w:cs="Arial"/>
                                  <w:b/>
                                  <w:bCs/>
                                  <w:color w:val="595959"/>
                                  <w:kern w:val="24"/>
                                  <w:position w:val="-5"/>
                                  <w:sz w:val="18"/>
                                  <w:szCs w:val="18"/>
                                  <w:vertAlign w:val="subscript"/>
                                </w:rPr>
                                <w:t>2</w:t>
                              </w:r>
                              <w:r>
                                <w:rPr>
                                  <w:rFonts w:asciiTheme="minorHAnsi" w:eastAsia="Times New Roman" w:hAnsi="Calibri" w:cs="Arial"/>
                                  <w:b/>
                                  <w:bCs/>
                                  <w:color w:val="595959"/>
                                  <w:kern w:val="24"/>
                                  <w:sz w:val="18"/>
                                  <w:szCs w:val="18"/>
                                </w:rPr>
                                <w:t>)</w:t>
                              </w:r>
                            </w:p>
                          </w:txbxContent>
                        </wps:txbx>
                        <wps:bodyPr vert="horz" wrap="square" lIns="72000" tIns="36000" rIns="72000" bIns="36000" numCol="1" rtlCol="0" anchor="ctr" anchorCtr="0" compatLnSpc="1">
                          <a:prstTxWarp prst="textNoShape">
                            <a:avLst/>
                          </a:prstTxWarp>
                          <a:noAutofit/>
                        </wps:bodyPr>
                      </wps:wsp>
                      <wps:wsp>
                        <wps:cNvPr id="6" name="Rounded Rectangle 6"/>
                        <wps:cNvSpPr/>
                        <wps:spPr bwMode="auto">
                          <a:xfrm>
                            <a:off x="337141" y="1375225"/>
                            <a:ext cx="661397" cy="402075"/>
                          </a:xfrm>
                          <a:prstGeom prst="roundRect">
                            <a:avLst/>
                          </a:prstGeom>
                          <a:ln/>
                          <a:extLst/>
                        </wps:spPr>
                        <wps:style>
                          <a:lnRef idx="2">
                            <a:schemeClr val="dk1"/>
                          </a:lnRef>
                          <a:fillRef idx="1">
                            <a:schemeClr val="lt1"/>
                          </a:fillRef>
                          <a:effectRef idx="0">
                            <a:schemeClr val="dk1"/>
                          </a:effectRef>
                          <a:fontRef idx="minor">
                            <a:schemeClr val="dk1"/>
                          </a:fontRef>
                        </wps:style>
                        <wps:txbx>
                          <w:txbxContent>
                            <w:p w14:paraId="33D01989"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 xml:space="preserve">Aqueous phase </w:t>
                              </w:r>
                            </w:p>
                          </w:txbxContent>
                        </wps:txbx>
                        <wps:bodyPr vert="horz" wrap="square" lIns="72000" tIns="36000" rIns="72000" bIns="36000" numCol="1" rtlCol="0" anchor="ctr" anchorCtr="0" compatLnSpc="1">
                          <a:prstTxWarp prst="textNoShape">
                            <a:avLst/>
                          </a:prstTxWarp>
                          <a:noAutofit/>
                        </wps:bodyPr>
                      </wps:wsp>
                      <wps:wsp>
                        <wps:cNvPr id="7" name="Rounded Rectangle 7"/>
                        <wps:cNvSpPr/>
                        <wps:spPr bwMode="auto">
                          <a:xfrm>
                            <a:off x="1187775" y="1375014"/>
                            <a:ext cx="725160" cy="402286"/>
                          </a:xfrm>
                          <a:prstGeom prst="roundRect">
                            <a:avLst/>
                          </a:prstGeom>
                          <a:ln/>
                          <a:extLst/>
                        </wps:spPr>
                        <wps:style>
                          <a:lnRef idx="2">
                            <a:schemeClr val="dk1"/>
                          </a:lnRef>
                          <a:fillRef idx="1">
                            <a:schemeClr val="lt1"/>
                          </a:fillRef>
                          <a:effectRef idx="0">
                            <a:schemeClr val="dk1"/>
                          </a:effectRef>
                          <a:fontRef idx="minor">
                            <a:schemeClr val="dk1"/>
                          </a:fontRef>
                        </wps:style>
                        <wps:txbx>
                          <w:txbxContent>
                            <w:p w14:paraId="60414A56"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 xml:space="preserve">Solid </w:t>
                              </w:r>
                            </w:p>
                            <w:p w14:paraId="43CDB556"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residue</w:t>
                              </w:r>
                            </w:p>
                          </w:txbxContent>
                        </wps:txbx>
                        <wps:bodyPr vert="horz" wrap="square" lIns="72000" tIns="36000" rIns="72000" bIns="36000" numCol="1" rtlCol="0" anchor="ctr" anchorCtr="0" compatLnSpc="1">
                          <a:prstTxWarp prst="textNoShape">
                            <a:avLst/>
                          </a:prstTxWarp>
                          <a:noAutofit/>
                        </wps:bodyPr>
                      </wps:wsp>
                      <wps:wsp>
                        <wps:cNvPr id="8" name="Rounded Rectangle 8"/>
                        <wps:cNvSpPr/>
                        <wps:spPr bwMode="auto">
                          <a:xfrm>
                            <a:off x="2208324" y="32773"/>
                            <a:ext cx="649197" cy="303698"/>
                          </a:xfrm>
                          <a:prstGeom prst="roundRect">
                            <a:avLst/>
                          </a:prstGeom>
                          <a:ln/>
                          <a:extLst/>
                        </wps:spPr>
                        <wps:style>
                          <a:lnRef idx="2">
                            <a:schemeClr val="accent1"/>
                          </a:lnRef>
                          <a:fillRef idx="1">
                            <a:schemeClr val="lt1"/>
                          </a:fillRef>
                          <a:effectRef idx="0">
                            <a:schemeClr val="accent1"/>
                          </a:effectRef>
                          <a:fontRef idx="minor">
                            <a:schemeClr val="dk1"/>
                          </a:fontRef>
                        </wps:style>
                        <wps:txbx>
                          <w:txbxContent>
                            <w:p w14:paraId="6A14CEE3"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Gasoline</w:t>
                              </w:r>
                            </w:p>
                          </w:txbxContent>
                        </wps:txbx>
                        <wps:bodyPr vert="horz" wrap="square" lIns="72000" tIns="36000" rIns="72000" bIns="36000" numCol="1" rtlCol="0" anchor="ctr" anchorCtr="0" compatLnSpc="1">
                          <a:prstTxWarp prst="textNoShape">
                            <a:avLst/>
                          </a:prstTxWarp>
                          <a:noAutofit/>
                        </wps:bodyPr>
                      </wps:wsp>
                      <wps:wsp>
                        <wps:cNvPr id="9" name="Rounded Rectangle 9"/>
                        <wps:cNvSpPr/>
                        <wps:spPr bwMode="auto">
                          <a:xfrm>
                            <a:off x="2208082" y="634156"/>
                            <a:ext cx="655770" cy="303698"/>
                          </a:xfrm>
                          <a:prstGeom prst="roundRect">
                            <a:avLst/>
                          </a:prstGeom>
                          <a:ln/>
                          <a:extLst/>
                        </wps:spPr>
                        <wps:style>
                          <a:lnRef idx="2">
                            <a:schemeClr val="accent1"/>
                          </a:lnRef>
                          <a:fillRef idx="1">
                            <a:schemeClr val="lt1"/>
                          </a:fillRef>
                          <a:effectRef idx="0">
                            <a:schemeClr val="accent1"/>
                          </a:effectRef>
                          <a:fontRef idx="minor">
                            <a:schemeClr val="dk1"/>
                          </a:fontRef>
                        </wps:style>
                        <wps:txbx>
                          <w:txbxContent>
                            <w:p w14:paraId="4BEE7E6F"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Kerosene</w:t>
                              </w:r>
                            </w:p>
                          </w:txbxContent>
                        </wps:txbx>
                        <wps:bodyPr vert="horz" wrap="square" lIns="72000" tIns="36000" rIns="72000" bIns="36000" numCol="1" rtlCol="0" anchor="ctr" anchorCtr="0" compatLnSpc="1">
                          <a:prstTxWarp prst="textNoShape">
                            <a:avLst/>
                          </a:prstTxWarp>
                          <a:noAutofit/>
                        </wps:bodyPr>
                      </wps:wsp>
                      <wps:wsp>
                        <wps:cNvPr id="10" name="Rounded Rectangle 10"/>
                        <wps:cNvSpPr/>
                        <wps:spPr bwMode="auto">
                          <a:xfrm>
                            <a:off x="2221004" y="1247814"/>
                            <a:ext cx="636497" cy="303698"/>
                          </a:xfrm>
                          <a:prstGeom prst="roundRect">
                            <a:avLst/>
                          </a:prstGeom>
                          <a:ln/>
                          <a:extLst/>
                        </wps:spPr>
                        <wps:style>
                          <a:lnRef idx="2">
                            <a:schemeClr val="accent1"/>
                          </a:lnRef>
                          <a:fillRef idx="1">
                            <a:schemeClr val="lt1"/>
                          </a:fillRef>
                          <a:effectRef idx="0">
                            <a:schemeClr val="accent1"/>
                          </a:effectRef>
                          <a:fontRef idx="minor">
                            <a:schemeClr val="dk1"/>
                          </a:fontRef>
                        </wps:style>
                        <wps:txbx>
                          <w:txbxContent>
                            <w:p w14:paraId="09248F2C"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Diesel</w:t>
                              </w:r>
                            </w:p>
                          </w:txbxContent>
                        </wps:txbx>
                        <wps:bodyPr vert="horz" wrap="square" lIns="72000" tIns="36000" rIns="72000" bIns="36000" numCol="1" rtlCol="0" anchor="ctr" anchorCtr="0" compatLnSpc="1">
                          <a:prstTxWarp prst="textNoShape">
                            <a:avLst/>
                          </a:prstTxWarp>
                          <a:noAutofit/>
                        </wps:bodyPr>
                      </wps:wsp>
                      <wps:wsp>
                        <wps:cNvPr id="11" name="Rounded Rectangle 11"/>
                        <wps:cNvSpPr/>
                        <wps:spPr bwMode="auto">
                          <a:xfrm>
                            <a:off x="1232221" y="2000446"/>
                            <a:ext cx="636268" cy="404930"/>
                          </a:xfrm>
                          <a:prstGeom prst="roundRect">
                            <a:avLst/>
                          </a:prstGeom>
                          <a:ln/>
                          <a:extLst/>
                        </wps:spPr>
                        <wps:style>
                          <a:lnRef idx="2">
                            <a:schemeClr val="accent1"/>
                          </a:lnRef>
                          <a:fillRef idx="1">
                            <a:schemeClr val="lt1"/>
                          </a:fillRef>
                          <a:effectRef idx="0">
                            <a:schemeClr val="accent1"/>
                          </a:effectRef>
                          <a:fontRef idx="minor">
                            <a:schemeClr val="dk1"/>
                          </a:fontRef>
                        </wps:style>
                        <wps:txbx>
                          <w:txbxContent>
                            <w:p w14:paraId="2DA92296"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Metal recovery</w:t>
                              </w:r>
                            </w:p>
                          </w:txbxContent>
                        </wps:txbx>
                        <wps:bodyPr vert="horz" wrap="square" lIns="72000" tIns="36000" rIns="72000" bIns="36000" numCol="1" rtlCol="0" anchor="ctr" anchorCtr="0" compatLnSpc="1">
                          <a:prstTxWarp prst="textNoShape">
                            <a:avLst/>
                          </a:prstTxWarp>
                          <a:noAutofit/>
                        </wps:bodyPr>
                      </wps:wsp>
                      <wps:wsp>
                        <wps:cNvPr id="12" name="Rounded Rectangle 12"/>
                        <wps:cNvSpPr/>
                        <wps:spPr bwMode="auto">
                          <a:xfrm>
                            <a:off x="340734" y="2000441"/>
                            <a:ext cx="657804" cy="404930"/>
                          </a:xfrm>
                          <a:prstGeom prst="roundRect">
                            <a:avLst/>
                          </a:prstGeom>
                          <a:ln/>
                          <a:extLst/>
                        </wps:spPr>
                        <wps:style>
                          <a:lnRef idx="2">
                            <a:schemeClr val="accent1"/>
                          </a:lnRef>
                          <a:fillRef idx="1">
                            <a:schemeClr val="lt1"/>
                          </a:fillRef>
                          <a:effectRef idx="0">
                            <a:schemeClr val="accent1"/>
                          </a:effectRef>
                          <a:fontRef idx="minor">
                            <a:schemeClr val="dk1"/>
                          </a:fontRef>
                        </wps:style>
                        <wps:txbx>
                          <w:txbxContent>
                            <w:p w14:paraId="4C04BC46"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Aqueous fertiliser</w:t>
                              </w:r>
                            </w:p>
                          </w:txbxContent>
                        </wps:txbx>
                        <wps:bodyPr vert="horz" wrap="square" lIns="72000" tIns="36000" rIns="72000" bIns="36000" numCol="1" rtlCol="0" anchor="ctr" anchorCtr="0" compatLnSpc="1">
                          <a:prstTxWarp prst="textNoShape">
                            <a:avLst/>
                          </a:prstTxWarp>
                          <a:noAutofit/>
                        </wps:bodyPr>
                      </wps:wsp>
                      <wps:wsp>
                        <wps:cNvPr id="13" name="Elbow Connector 13"/>
                        <wps:cNvCnPr>
                          <a:stCxn id="3" idx="2"/>
                          <a:endCxn id="6" idx="0"/>
                        </wps:cNvCnPr>
                        <wps:spPr>
                          <a:xfrm rot="5400000">
                            <a:off x="667935" y="1045382"/>
                            <a:ext cx="329749" cy="329937"/>
                          </a:xfrm>
                          <a:prstGeom prst="bentConnector3">
                            <a:avLst/>
                          </a:prstGeom>
                          <a:ln>
                            <a:tailEnd type="triangle"/>
                          </a:ln>
                        </wps:spPr>
                        <wps:style>
                          <a:lnRef idx="3">
                            <a:schemeClr val="dk1"/>
                          </a:lnRef>
                          <a:fillRef idx="0">
                            <a:schemeClr val="dk1"/>
                          </a:fillRef>
                          <a:effectRef idx="2">
                            <a:schemeClr val="dk1"/>
                          </a:effectRef>
                          <a:fontRef idx="minor">
                            <a:schemeClr val="tx1"/>
                          </a:fontRef>
                        </wps:style>
                        <wps:bodyPr/>
                      </wps:wsp>
                      <wps:wsp>
                        <wps:cNvPr id="14" name="Elbow Connector 14"/>
                        <wps:cNvCnPr>
                          <a:stCxn id="3" idx="2"/>
                          <a:endCxn id="7" idx="0"/>
                        </wps:cNvCnPr>
                        <wps:spPr>
                          <a:xfrm rot="16200000" flipH="1">
                            <a:off x="1109297" y="933956"/>
                            <a:ext cx="329538" cy="552578"/>
                          </a:xfrm>
                          <a:prstGeom prst="bentConnector3">
                            <a:avLst/>
                          </a:prstGeom>
                          <a:ln>
                            <a:tailEnd type="triangle"/>
                          </a:ln>
                        </wps:spPr>
                        <wps:style>
                          <a:lnRef idx="3">
                            <a:schemeClr val="dk1"/>
                          </a:lnRef>
                          <a:fillRef idx="0">
                            <a:schemeClr val="dk1"/>
                          </a:fillRef>
                          <a:effectRef idx="2">
                            <a:schemeClr val="dk1"/>
                          </a:effectRef>
                          <a:fontRef idx="minor">
                            <a:schemeClr val="tx1"/>
                          </a:fontRef>
                        </wps:style>
                        <wps:bodyPr/>
                      </wps:wsp>
                      <wps:wsp>
                        <wps:cNvPr id="15" name="Elbow Connector 15"/>
                        <wps:cNvCnPr>
                          <a:stCxn id="4" idx="3"/>
                          <a:endCxn id="8" idx="1"/>
                        </wps:cNvCnPr>
                        <wps:spPr>
                          <a:xfrm flipV="1">
                            <a:off x="1993768" y="184622"/>
                            <a:ext cx="214556" cy="597566"/>
                          </a:xfrm>
                          <a:prstGeom prst="bentConnector3">
                            <a:avLst>
                              <a:gd name="adj1" fmla="val 50000"/>
                            </a:avLst>
                          </a:prstGeom>
                          <a:ln>
                            <a:tailEnd type="triangle"/>
                          </a:ln>
                        </wps:spPr>
                        <wps:style>
                          <a:lnRef idx="3">
                            <a:schemeClr val="dk1"/>
                          </a:lnRef>
                          <a:fillRef idx="0">
                            <a:schemeClr val="dk1"/>
                          </a:fillRef>
                          <a:effectRef idx="2">
                            <a:schemeClr val="dk1"/>
                          </a:effectRef>
                          <a:fontRef idx="minor">
                            <a:schemeClr val="tx1"/>
                          </a:fontRef>
                        </wps:style>
                        <wps:bodyPr/>
                      </wps:wsp>
                      <wps:wsp>
                        <wps:cNvPr id="16" name="Elbow Connector 16"/>
                        <wps:cNvCnPr>
                          <a:stCxn id="4" idx="3"/>
                          <a:endCxn id="10" idx="1"/>
                        </wps:cNvCnPr>
                        <wps:spPr>
                          <a:xfrm>
                            <a:off x="1993768" y="782188"/>
                            <a:ext cx="227236" cy="617475"/>
                          </a:xfrm>
                          <a:prstGeom prst="bentConnector3">
                            <a:avLst>
                              <a:gd name="adj1" fmla="val 47904"/>
                            </a:avLst>
                          </a:prstGeom>
                          <a:ln>
                            <a:tailEnd type="triangle"/>
                          </a:ln>
                        </wps:spPr>
                        <wps:style>
                          <a:lnRef idx="3">
                            <a:schemeClr val="dk1"/>
                          </a:lnRef>
                          <a:fillRef idx="0">
                            <a:schemeClr val="dk1"/>
                          </a:fillRef>
                          <a:effectRef idx="2">
                            <a:schemeClr val="dk1"/>
                          </a:effectRef>
                          <a:fontRef idx="minor">
                            <a:schemeClr val="tx1"/>
                          </a:fontRef>
                        </wps:style>
                        <wps:bodyPr/>
                      </wps:wsp>
                      <wps:wsp>
                        <wps:cNvPr id="17" name="Straight Arrow Connector 17"/>
                        <wps:cNvCnPr>
                          <a:stCxn id="4" idx="3"/>
                          <a:endCxn id="9" idx="1"/>
                        </wps:cNvCnPr>
                        <wps:spPr>
                          <a:xfrm>
                            <a:off x="1993768" y="782188"/>
                            <a:ext cx="214314" cy="381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8" name="Straight Arrow Connector 18"/>
                        <wps:cNvCnPr>
                          <a:stCxn id="2" idx="3"/>
                          <a:endCxn id="3" idx="1"/>
                        </wps:cNvCnPr>
                        <wps:spPr>
                          <a:xfrm flipV="1">
                            <a:off x="557398" y="792394"/>
                            <a:ext cx="161680" cy="289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 name="Straight Arrow Connector 19"/>
                        <wps:cNvCnPr>
                          <a:stCxn id="3" idx="0"/>
                          <a:endCxn id="5" idx="2"/>
                        </wps:cNvCnPr>
                        <wps:spPr>
                          <a:xfrm flipH="1" flipV="1">
                            <a:off x="997776" y="404826"/>
                            <a:ext cx="1" cy="13448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 name="Straight Arrow Connector 20"/>
                        <wps:cNvCnPr>
                          <a:endCxn id="4" idx="1"/>
                        </wps:cNvCnPr>
                        <wps:spPr>
                          <a:xfrm>
                            <a:off x="1276477" y="782188"/>
                            <a:ext cx="159893"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 name="Straight Arrow Connector 21"/>
                        <wps:cNvCnPr>
                          <a:stCxn id="7" idx="2"/>
                          <a:endCxn id="11" idx="0"/>
                        </wps:cNvCnPr>
                        <wps:spPr>
                          <a:xfrm>
                            <a:off x="1550355" y="1777300"/>
                            <a:ext cx="0" cy="22314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2" name="Straight Arrow Connector 22"/>
                        <wps:cNvCnPr>
                          <a:stCxn id="6" idx="2"/>
                          <a:endCxn id="12" idx="0"/>
                        </wps:cNvCnPr>
                        <wps:spPr>
                          <a:xfrm>
                            <a:off x="667840" y="1777300"/>
                            <a:ext cx="1796" cy="22314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 name="Elbow Connector 23"/>
                        <wps:cNvCnPr>
                          <a:stCxn id="5" idx="1"/>
                          <a:endCxn id="2" idx="0"/>
                        </wps:cNvCnPr>
                        <wps:spPr>
                          <a:xfrm rot="10800000" flipV="1">
                            <a:off x="278699" y="183362"/>
                            <a:ext cx="440378" cy="409465"/>
                          </a:xfrm>
                          <a:prstGeom prst="bentConnector2">
                            <a:avLst/>
                          </a:prstGeom>
                          <a:ln>
                            <a:tailEnd type="triangle"/>
                          </a:ln>
                        </wps:spPr>
                        <wps:style>
                          <a:lnRef idx="3">
                            <a:schemeClr val="dk1"/>
                          </a:lnRef>
                          <a:fillRef idx="0">
                            <a:schemeClr val="dk1"/>
                          </a:fillRef>
                          <a:effectRef idx="2">
                            <a:schemeClr val="dk1"/>
                          </a:effectRef>
                          <a:fontRef idx="minor">
                            <a:schemeClr val="tx1"/>
                          </a:fontRef>
                        </wps:style>
                        <wps:bodyPr/>
                      </wps:wsp>
                      <wps:wsp>
                        <wps:cNvPr id="24" name="Elbow Connector 24"/>
                        <wps:cNvCnPr>
                          <a:stCxn id="6" idx="1"/>
                          <a:endCxn id="2" idx="2"/>
                        </wps:cNvCnPr>
                        <wps:spPr>
                          <a:xfrm rot="10800000">
                            <a:off x="278699" y="997759"/>
                            <a:ext cx="58442" cy="578505"/>
                          </a:xfrm>
                          <a:prstGeom prst="bentConnector2">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inline>
            </w:drawing>
          </mc:Choice>
          <mc:Fallback>
            <w:pict>
              <v:group w14:anchorId="0F1AC93B" id="Group 61" o:spid="_x0000_s1026" style="width:225.5pt;height:192.4pt;mso-position-horizontal-relative:char;mso-position-vertical-relative:line" coordorigin=",-381" coordsize="28638,2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">
                <v:roundrect id="Rounded Rectangle 2" o:spid="_x0000_s1027" style="position:absolute;top:5928;width:5573;height:4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DoHsIA&#10;AADaAAAADwAAAGRycy9kb3ducmV2LnhtbESP3YrCMBSE7wXfIRzBO00V/KEaRdwVFoQFq+DtsTm2&#10;xeakNlG7Pv1GELwcZuYbZr5sTCnuVLvCsoJBPwJBnFpdcKbgsN/0piCcR9ZYWiYFf+RguWi35hhr&#10;++Ad3ROfiQBhF6OC3PsqltKlORl0fVsRB+9sa4M+yDqTusZHgJtSDqNoLA0WHBZyrGidU3pJbkbB&#10;8ySZfrcFj67JeXf8Sibby/dEqW6nWc1AeGr8J/xu/2gFQ3hdCT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OgewgAAANoAAAAPAAAAAAAAAAAAAAAAAJgCAABkcnMvZG93&#10;bnJldi54bWxQSwUGAAAAAAQABAD1AAAAhwMAAAAA&#10;" fillcolor="white [3201]" strokecolor="#70ad47 [3209]" strokeweight="1pt">
                  <v:stroke joinstyle="miter"/>
                  <v:textbox inset="2mm,1mm,2mm,1mm">
                    <w:txbxContent>
                      <w:p w14:paraId="293CC148"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Algal</w:t>
                        </w:r>
                      </w:p>
                      <w:p w14:paraId="1ACFA786"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culture</w:t>
                        </w:r>
                      </w:p>
                    </w:txbxContent>
                  </v:textbox>
                </v:roundrect>
                <v:roundrect id="Rounded Rectangle 3" o:spid="_x0000_s1028" style="position:absolute;left:7190;top:5393;width:5574;height:50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NhcMA&#10;AADaAAAADwAAAGRycy9kb3ducmV2LnhtbESP3YrCMBSE7wXfIRzBO01dWZVqFPEHFgTBKnh7bI5t&#10;sTnpNlG7+/SbBcHLYWa+YWaLxpTiQbUrLCsY9CMQxKnVBWcKTsdtbwLCeWSNpWVS8EMOFvN2a4ax&#10;tk8+0CPxmQgQdjEqyL2vYildmpNB17cVcfCutjbog6wzqWt8Brgp5UcUjaTBgsNCjhWtckpvyd0o&#10;+L1Ipv2u4M/v5Ho4r5Px7rYZK9XtNMspCE+Nf4df7S+tYAj/V8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xNhcMAAADaAAAADwAAAAAAAAAAAAAAAACYAgAAZHJzL2Rv&#10;d25yZXYueG1sUEsFBgAAAAAEAAQA9QAAAIgDAAAAAA==&#10;" fillcolor="white [3201]" strokecolor="#70ad47 [3209]" strokeweight="1pt">
                  <v:stroke joinstyle="miter"/>
                  <v:textbox inset="2mm,1mm,2mm,1mm">
                    <w:txbxContent>
                      <w:p w14:paraId="482BB543"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HTL</w:t>
                        </w:r>
                      </w:p>
                    </w:txbxContent>
                  </v:textbox>
                </v:roundrect>
                <v:roundrect id="Rounded Rectangle 4" o:spid="_x0000_s1029" style="position:absolute;left:14363;top:5189;width:5574;height:52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t7acAA&#10;AADaAAAADwAAAGRycy9kb3ducmV2LnhtbERPXWvCMBR9F/wP4Qq+aeoUlWqUIawMGULd8Pna3LVl&#10;zU1JMu389WYg+Hg43+ttZxpxIedrywom4wQEcWF1zaWCr8+30RKED8gaG8uk4I88bDf93hpTba+c&#10;0+UYShFD2KeooAqhTaX0RUUG/di2xJH7ts5giNCVUju8xnDTyJckmUuDNceGClvaVVT8HH9NnLHI&#10;d+5220/np/bwkZ/3GWeTTKnhoHtdgQjUhaf44X7XCmbwfyX6QW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t7acAAAADaAAAADwAAAAAAAAAAAAAAAACYAgAAZHJzL2Rvd25y&#10;ZXYueG1sUEsFBgAAAAAEAAQA9QAAAIUDAAAAAA==&#10;" fillcolor="white [3201]" strokecolor="black [3200]" strokeweight="1pt">
                  <v:stroke joinstyle="miter"/>
                  <v:textbox inset="2mm,1mm,2mm,1mm">
                    <w:txbxContent>
                      <w:p w14:paraId="54596E6C" w14:textId="3A9E7C7A"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Bio-oil</w:t>
                        </w:r>
                      </w:p>
                    </w:txbxContent>
                  </v:textbox>
                </v:roundrect>
                <v:roundrect id="Rounded Rectangle 5" o:spid="_x0000_s1030" style="position:absolute;left:7190;top:-381;width:5574;height:4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fe8sAA&#10;AADaAAAADwAAAGRycy9kb3ducmV2LnhtbERPW2vCMBR+F/wP4Qi+aerEC9UoQ1gZMoS64fOxOWvL&#10;mpOSZNr5681A8PHju6+3nWnEhZyvLSuYjBMQxIXVNZcKvj7fRksQPiBrbCyTgj/ysN30e2tMtb1y&#10;TpdjKEUMYZ+igiqENpXSFxUZ9GPbEkfu2zqDIUJXSu3wGsNNI1+SZC4N1hwbKmxpV1Hxc/w1ccYi&#10;37nbbT+dn9rDR37eZ5xNMqWGg+51BSJQF57ih/tdK5jB/5XoB7m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fe8sAAAADaAAAADwAAAAAAAAAAAAAAAACYAgAAZHJzL2Rvd25y&#10;ZXYueG1sUEsFBgAAAAAEAAQA9QAAAIUDAAAAAA==&#10;" fillcolor="white [3201]" strokecolor="black [3200]" strokeweight="1pt">
                  <v:stroke joinstyle="miter"/>
                  <v:textbox inset="2mm,1mm,2mm,1mm">
                    <w:txbxContent>
                      <w:p w14:paraId="17D7DCA3"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Bio-gas (CO</w:t>
                        </w:r>
                        <w:r>
                          <w:rPr>
                            <w:rFonts w:asciiTheme="minorHAnsi" w:eastAsia="Times New Roman" w:hAnsi="Calibri" w:cs="Arial"/>
                            <w:b/>
                            <w:bCs/>
                            <w:color w:val="595959"/>
                            <w:kern w:val="24"/>
                            <w:position w:val="-5"/>
                            <w:sz w:val="18"/>
                            <w:szCs w:val="18"/>
                            <w:vertAlign w:val="subscript"/>
                          </w:rPr>
                          <w:t>2</w:t>
                        </w:r>
                        <w:r>
                          <w:rPr>
                            <w:rFonts w:asciiTheme="minorHAnsi" w:eastAsia="Times New Roman" w:hAnsi="Calibri" w:cs="Arial"/>
                            <w:b/>
                            <w:bCs/>
                            <w:color w:val="595959"/>
                            <w:kern w:val="24"/>
                            <w:sz w:val="18"/>
                            <w:szCs w:val="18"/>
                          </w:rPr>
                          <w:t>)</w:t>
                        </w:r>
                      </w:p>
                    </w:txbxContent>
                  </v:textbox>
                </v:roundrect>
                <v:roundrect id="Rounded Rectangle 6" o:spid="_x0000_s1031" style="position:absolute;left:3371;top:13752;width:6614;height:40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VAhcAA&#10;AADaAAAADwAAAGRycy9kb3ducmV2LnhtbERPXWvCMBR9H+w/hCv4NlMddKOaFhFWhgyhbuz52ty1&#10;Zc1NSaJWf/0iDHw8nO9VMZpenMj5zrKC+SwBQVxb3XGj4Ovz7ekVhA/IGnvLpOBCHor88WGFmbZn&#10;rui0D42IIewzVNCGMGRS+rolg35mB+LI/VhnMEToGqkdnmO46eUiSVJpsOPY0OJAm5bq3/3RxBkv&#10;1cZdr9vn9HvYfVSHbcnlvFRqOhnXSxCBxnAX/7vftYIUbleiH2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VAhcAAAADaAAAADwAAAAAAAAAAAAAAAACYAgAAZHJzL2Rvd25y&#10;ZXYueG1sUEsFBgAAAAAEAAQA9QAAAIUDAAAAAA==&#10;" fillcolor="white [3201]" strokecolor="black [3200]" strokeweight="1pt">
                  <v:stroke joinstyle="miter"/>
                  <v:textbox inset="2mm,1mm,2mm,1mm">
                    <w:txbxContent>
                      <w:p w14:paraId="33D01989"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 xml:space="preserve">Aqueous phase </w:t>
                        </w:r>
                      </w:p>
                    </w:txbxContent>
                  </v:textbox>
                </v:roundrect>
                <v:roundrect id="Rounded Rectangle 7" o:spid="_x0000_s1032" style="position:absolute;left:11877;top:13750;width:7252;height:40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nlHsAA&#10;AADaAAAADwAAAGRycy9kb3ducmV2LnhtbERPXWvCMBR9F/wP4Qq+aVoFlc5YhmAZMgZ1sue75q4t&#10;a25Kkmnnr18EYY+H873NB9OJCznfWlaQzhMQxJXVLdcKzu+H2QaED8gaO8uk4Jc85LvxaIuZtlcu&#10;6XIKtYgh7DNU0ITQZ1L6qiGDfm574sh9WWcwROhqqR1eY7jp5CJJVtJgy7GhwZ72DVXfpx8TZ6zL&#10;vbvdjsvVR//2Wn4eCy7SQqnpZHh+AhFoCP/ih/tFK1jD/Ur0g9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nlHsAAAADaAAAADwAAAAAAAAAAAAAAAACYAgAAZHJzL2Rvd25y&#10;ZXYueG1sUEsFBgAAAAAEAAQA9QAAAIUDAAAAAA==&#10;" fillcolor="white [3201]" strokecolor="black [3200]" strokeweight="1pt">
                  <v:stroke joinstyle="miter"/>
                  <v:textbox inset="2mm,1mm,2mm,1mm">
                    <w:txbxContent>
                      <w:p w14:paraId="60414A56"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 xml:space="preserve">Solid </w:t>
                        </w:r>
                      </w:p>
                      <w:p w14:paraId="43CDB556"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residue</w:t>
                        </w:r>
                      </w:p>
                    </w:txbxContent>
                  </v:textbox>
                </v:roundrect>
                <v:roundrect id="Rounded Rectangle 8" o:spid="_x0000_s1033" style="position:absolute;left:22083;top:327;width:6492;height:30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0R2cEA&#10;AADaAAAADwAAAGRycy9kb3ducmV2LnhtbERP3WrCMBS+H/gO4Qi7W1O9GNIZRYYVx6Ru7R7g0Bzb&#10;suSkNpnt3n65GHj58f2vt5M14kaD7xwrWCQpCOLa6Y4bBV9V/rQC4QOyRuOYFPySh+1m9rDGTLuR&#10;P+lWhkbEEPYZKmhD6DMpfd2SRZ+4njhyFzdYDBEOjdQDjjHcGrlM02dpsePY0GJPry3V3+WPVaCb&#10;vD+cK/M+HRfF/q24mhN/5Eo9zqfdC4hAU7iL/91HrSBujVfiD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NEdnBAAAA2gAAAA8AAAAAAAAAAAAAAAAAmAIAAGRycy9kb3du&#10;cmV2LnhtbFBLBQYAAAAABAAEAPUAAACGAwAAAAA=&#10;" fillcolor="white [3201]" strokecolor="#5b9bd5 [3204]" strokeweight="1pt">
                  <v:stroke joinstyle="miter"/>
                  <v:textbox inset="2mm,1mm,2mm,1mm">
                    <w:txbxContent>
                      <w:p w14:paraId="6A14CEE3"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Gasoline</w:t>
                        </w:r>
                      </w:p>
                    </w:txbxContent>
                  </v:textbox>
                </v:roundrect>
                <v:roundrect id="Rounded Rectangle 9" o:spid="_x0000_s1034" style="position:absolute;left:22080;top:6341;width:6558;height:30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G0QsIA&#10;AADaAAAADwAAAGRycy9kb3ducmV2LnhtbESP3WoCMRSE7wu+QziCdzWrF2JXoxRxRVH87QMcNqe7&#10;S5OTdRN1fXtTKPRymJlvmOm8tUbcqfGVYwWDfgKCOHe64kLB1yV7H4PwAVmjcUwKnuRhPuu8TTHV&#10;7sEnup9DISKEfYoKyhDqVEqfl2TR911NHL1v11gMUTaF1A0+ItwaOUySkbRYcVwosaZFSfnP+WYV&#10;6CKrV4eL2bbrwX652V/Njo+ZUr1u+zkBEagN/+G/9lor+IDf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bRCwgAAANoAAAAPAAAAAAAAAAAAAAAAAJgCAABkcnMvZG93&#10;bnJldi54bWxQSwUGAAAAAAQABAD1AAAAhwMAAAAA&#10;" fillcolor="white [3201]" strokecolor="#5b9bd5 [3204]" strokeweight="1pt">
                  <v:stroke joinstyle="miter"/>
                  <v:textbox inset="2mm,1mm,2mm,1mm">
                    <w:txbxContent>
                      <w:p w14:paraId="4BEE7E6F"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Kerosene</w:t>
                        </w:r>
                      </w:p>
                    </w:txbxContent>
                  </v:textbox>
                </v:roundrect>
                <v:roundrect id="Rounded Rectangle 10" o:spid="_x0000_s1035" style="position:absolute;left:22210;top:12478;width:6365;height:30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BBsQA&#10;AADbAAAADwAAAGRycy9kb3ducmV2LnhtbESPQW/CMAyF75P4D5GRuI2UHdBUCAghOjFtYhvwA6zG&#10;tBWJU5oMun+PD0i72XrP732eL3vv1JW62AQ2MBlnoIjLYBuuDBwPxfMrqJiQLbrAZOCPIiwXg6c5&#10;5jbc+Ieu+1QpCeGYo4E6pTbXOpY1eYzj0BKLdgqdxyRrV2nb4U3CvdMvWTbVHhuWhhpbWtdUnve/&#10;3oCtivbt6+A++u1kt3nfXdwnfxfGjIb9agYqUZ/+zY/rrRV8oZdfZAC9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hwQbEAAAA2wAAAA8AAAAAAAAAAAAAAAAAmAIAAGRycy9k&#10;b3ducmV2LnhtbFBLBQYAAAAABAAEAPUAAACJAwAAAAA=&#10;" fillcolor="white [3201]" strokecolor="#5b9bd5 [3204]" strokeweight="1pt">
                  <v:stroke joinstyle="miter"/>
                  <v:textbox inset="2mm,1mm,2mm,1mm">
                    <w:txbxContent>
                      <w:p w14:paraId="09248F2C"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Diesel</w:t>
                        </w:r>
                      </w:p>
                    </w:txbxContent>
                  </v:textbox>
                </v:roundrect>
                <v:roundrect id="Rounded Rectangle 11" o:spid="_x0000_s1036" style="position:absolute;left:12322;top:20004;width:6362;height:4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1kncIA&#10;AADbAAAADwAAAGRycy9kb3ducmV2LnhtbERP22rCQBB9L/gPywi+1U36ICW6BimNRBTrpR8wZKdJ&#10;cHc2Zrca/75bKPRtDuc6i3ywRtyo961jBek0AUFcOd1yreDzXDy/gvABWaNxTAoe5CFfjp4WmGl3&#10;5yPdTqEWMYR9hgqaELpMSl81ZNFPXUccuS/XWwwR9rXUPd5juDXyJUlm0mLLsaHBjt4aqi6nb6tA&#10;10W3/jib7VCm+/fN/mp2fCiUmoyH1RxEoCH8i//cpY7zU/j9JR4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LWSdwgAAANsAAAAPAAAAAAAAAAAAAAAAAJgCAABkcnMvZG93&#10;bnJldi54bWxQSwUGAAAAAAQABAD1AAAAhwMAAAAA&#10;" fillcolor="white [3201]" strokecolor="#5b9bd5 [3204]" strokeweight="1pt">
                  <v:stroke joinstyle="miter"/>
                  <v:textbox inset="2mm,1mm,2mm,1mm">
                    <w:txbxContent>
                      <w:p w14:paraId="2DA92296"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Metal recovery</w:t>
                        </w:r>
                      </w:p>
                    </w:txbxContent>
                  </v:textbox>
                </v:roundrect>
                <v:roundrect id="Rounded Rectangle 12" o:spid="_x0000_s1037" style="position:absolute;left:3407;top:20004;width:6578;height:4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66sAA&#10;AADbAAAADwAAAGRycy9kb3ducmV2LnhtbERPzYrCMBC+L/gOYQRva6oHkWoUESuK4u6qDzA0Y1tM&#10;JrWJWt/eLCzsbT6+35nOW2vEgxpfOVYw6CcgiHOnKy4UnE/Z5xiED8gajWNS8CIP81nnY4qpdk/+&#10;occxFCKGsE9RQRlCnUrp85Is+r6riSN3cY3FEGFTSN3gM4ZbI4dJMpIWK44NJda0LCm/Hu9WgS6y&#10;ev11Mrt2Mzistoeb2fN3plSv2y4mIAK14V/8597oOH8Iv7/EA+T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66sAAAADbAAAADwAAAAAAAAAAAAAAAACYAgAAZHJzL2Rvd25y&#10;ZXYueG1sUEsFBgAAAAAEAAQA9QAAAIUDAAAAAA==&#10;" fillcolor="white [3201]" strokecolor="#5b9bd5 [3204]" strokeweight="1pt">
                  <v:stroke joinstyle="miter"/>
                  <v:textbox inset="2mm,1mm,2mm,1mm">
                    <w:txbxContent>
                      <w:p w14:paraId="4C04BC46" w14:textId="77777777" w:rsidR="00447236" w:rsidRDefault="00447236" w:rsidP="000060A6">
                        <w:pPr>
                          <w:pStyle w:val="NormalWeb"/>
                          <w:spacing w:before="0" w:beforeAutospacing="0" w:after="0" w:afterAutospacing="0"/>
                          <w:jc w:val="center"/>
                          <w:textAlignment w:val="baseline"/>
                        </w:pPr>
                        <w:r>
                          <w:rPr>
                            <w:rFonts w:asciiTheme="minorHAnsi" w:eastAsia="Times New Roman" w:hAnsi="Calibri" w:cs="Arial"/>
                            <w:b/>
                            <w:bCs/>
                            <w:color w:val="595959"/>
                            <w:kern w:val="24"/>
                            <w:sz w:val="18"/>
                            <w:szCs w:val="18"/>
                          </w:rPr>
                          <w:t>Aqueous fertiliser</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38" type="#_x0000_t34" style="position:absolute;left:6679;top:10453;width:3298;height:329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2Dz8IAAADbAAAADwAAAGRycy9kb3ducmV2LnhtbERPS2vCQBC+C/6HZYRepG5UbCW6iigF&#10;wUvzgF6H7JgEs7Mhuybpv+8WCr3Nx/ec/XE0jeipc7VlBctFBIK4sLrmUkGefbxuQTiPrLGxTAq+&#10;ycHxMJ3sMdZ24IT61JcihLCLUUHlfRtL6YqKDLqFbYkDd7edQR9gV0rd4RDCTSNXUfQmDdYcGips&#10;6VxR8UifRoEu5puv7SX3q/I2v2br9GY+k3elXmbjaQfC0+j/xX/uqw7z1/D7SzhAH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2Dz8IAAADbAAAADwAAAAAAAAAAAAAA&#10;AAChAgAAZHJzL2Rvd25yZXYueG1sUEsFBgAAAAAEAAQA+QAAAJADAAAAAA==&#10;" strokecolor="black [3200]" strokeweight="1.5pt">
                  <v:stroke endarrow="block"/>
                </v:shape>
                <v:shape id="Elbow Connector 14" o:spid="_x0000_s1039" type="#_x0000_t34" style="position:absolute;left:11092;top:9339;width:3296;height:55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D6VcEAAADbAAAADwAAAGRycy9kb3ducmV2LnhtbERP22rCQBB9L/gPywi+lLpRQpHUNUjA&#10;UgqCN3yeZqdJNDsbsmuS/r0rFHybw7nOMh1MLTpqXWVZwWwagSDOra64UHA6bt4WIJxH1lhbJgV/&#10;5CBdjV6WmGjb8566gy9ECGGXoILS+yaR0uUlGXRT2xAH7te2Bn2AbSF1i30IN7WcR9G7NFhxaCix&#10;oayk/Hq4GQU/exln9ritboSX18/vWX9G3ik1GQ/rDxCeBv8U/7u/dJgfw+OXcIB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cPpVwQAAANsAAAAPAAAAAAAAAAAAAAAA&#10;AKECAABkcnMvZG93bnJldi54bWxQSwUGAAAAAAQABAD5AAAAjwMAAAAA&#10;" strokecolor="black [3200]" strokeweight="1.5pt">
                  <v:stroke endarrow="block"/>
                </v:shape>
                <v:shape id="Elbow Connector 15" o:spid="_x0000_s1040" type="#_x0000_t34" style="position:absolute;left:19937;top:1846;width:2146;height:597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DT1sMAAADbAAAADwAAAGRycy9kb3ducmV2LnhtbESPQWvCQBCF70L/wzKF3nRToaLRVaRa&#10;KN5M0p7H7JgNZmdDdqPpv+8KgrcZ3pv3vVltBtuIK3W+dqzgfZKAIC6drrlSUORf4zkIH5A1No5J&#10;wR952KxfRitMtbvxka5ZqEQMYZ+iAhNCm0rpS0MW/cS1xFE7u85iiGtXSd3hLYbbRk6TZCYt1hwJ&#10;Blv6NFRest5G7o/Z77LfOi+KRXu68LGfVodeqbfXYbsEEWgIT/Pj+lvH+h9w/yUO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A09bDAAAA2wAAAA8AAAAAAAAAAAAA&#10;AAAAoQIAAGRycy9kb3ducmV2LnhtbFBLBQYAAAAABAAEAPkAAACRAwAAAAA=&#10;" strokecolor="black [3200]" strokeweight="1.5pt">
                  <v:stroke endarrow="block"/>
                </v:shape>
                <v:shape id="Elbow Connector 16" o:spid="_x0000_s1041" type="#_x0000_t34" style="position:absolute;left:19937;top:7821;width:2273;height:617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yuH8EAAADbAAAADwAAAGRycy9kb3ducmV2LnhtbERPTWvCQBC9C/0PyxS86aYeRFJXKYVK&#10;QC+NUjwO2ekmbXY2zY4m/fduoeBtHu9z1tvRt+pKfWwCG3iaZ6CIq2AbdgZOx7fZClQUZIttYDLw&#10;SxG2m4fJGnMbBn6naylOpRCOORqoRbpc61jV5DHOQ0ecuM/Qe5QEe6dtj0MK961eZNlSe2w4NdTY&#10;0WtN1Xd58QbK47lwu2HnRL5+Cn/ZH86Lj4Mx08fx5RmU0Ch38b+7sGn+Ev5+SQfoz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3K4fwQAAANsAAAAPAAAAAAAAAAAAAAAA&#10;AKECAABkcnMvZG93bnJldi54bWxQSwUGAAAAAAQABAD5AAAAjwMAAAAA&#10;" adj="10347" strokecolor="black [3200]" strokeweight="1.5pt">
                  <v:stroke endarrow="block"/>
                </v:shape>
                <v:shapetype id="_x0000_t32" coordsize="21600,21600" o:spt="32" o:oned="t" path="m,l21600,21600e" filled="f">
                  <v:path arrowok="t" fillok="f" o:connecttype="none"/>
                  <o:lock v:ext="edit" shapetype="t"/>
                </v:shapetype>
                <v:shape id="Straight Arrow Connector 17" o:spid="_x0000_s1042" type="#_x0000_t32" style="position:absolute;left:19937;top:7821;width:2143;height: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wfnMIAAADbAAAADwAAAGRycy9kb3ducmV2LnhtbERPS4vCMBC+C/6HMAt703SFdaUaZVHE&#10;Bx58oXscmrGtNpPSRK3/3ggL3ubje85gVJtC3KhyuWUFX+0IBHFidc6pgv1u2uqBcB5ZY2GZFDzI&#10;wWjYbAww1vbOG7ptfSpCCLsYFWTel7GULsnIoGvbkjhwJ1sZ9AFWqdQV3kO4KWQnirrSYM6hIcOS&#10;xhkll+3VKFj9rWeH5fck52OiL/Nic16ceKLU50f92wfhqfZv8b97rsP8H3j9Eg6Qw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6wfnMIAAADbAAAADwAAAAAAAAAAAAAA&#10;AAChAgAAZHJzL2Rvd25yZXYueG1sUEsFBgAAAAAEAAQA+QAAAJADAAAAAA==&#10;" strokecolor="black [3200]" strokeweight="1.5pt">
                  <v:stroke endarrow="block" joinstyle="miter"/>
                </v:shape>
                <v:shape id="Straight Arrow Connector 18" o:spid="_x0000_s1043" type="#_x0000_t32" style="position:absolute;left:5573;top:7923;width:1617;height: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sLMMAAADbAAAADwAAAGRycy9kb3ducmV2LnhtbESPwWrDQAxE74X+w6JCb/U6LZTgZG1K&#10;IBAoOcTtBwivYpt4ta5XSey/rw6F3jRo3mi0reYwmBtNqY/sYJXlYIib6HtuHXx/7V/WYJIgexwi&#10;k4OFElTl48MWCx/vfKJbLa3REE4FOuhExsLa1HQUMGVxJNbdOU4BReXUWj/hXcPDYF/z/N0G7Fkv&#10;dDjSrqPmUl+D1jie9svxcPm5fvaLDG/rXS2rxbnnp/ljA0Zoln/zH33wymlZ/UUHs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HbCzDAAAA2wAAAA8AAAAAAAAAAAAA&#10;AAAAoQIAAGRycy9kb3ducmV2LnhtbFBLBQYAAAAABAAEAPkAAACRAwAAAAA=&#10;" strokecolor="black [3200]" strokeweight="1.5pt">
                  <v:stroke endarrow="block" joinstyle="miter"/>
                </v:shape>
                <v:shape id="Straight Arrow Connector 19" o:spid="_x0000_s1044" type="#_x0000_t32" style="position:absolute;left:9977;top:4048;width:0;height:13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p3B8UAAADbAAAADwAAAGRycy9kb3ducmV2LnhtbESPwWrDMBBE74X8g9hALyWW64NJ3Mgm&#10;xBR6aAJx8gGLtbXcWitjqYn791WhkNsuMztvdlvNdhBXmnzvWMFzkoIgbp3uuVNwOb+u1iB8QNY4&#10;OCYFP+ShKhcPWyy0u/GJrk3oRAxhX6ACE8JYSOlbQxZ94kbiqH24yWKI69RJPeEthttBZmmaS4s9&#10;R4LBkfaG2q/m20Zu/VQfTv3lvTnkw+fRZOs8S71Sj8t59wIi0Bzu5v/rNx3rb+DvlziAL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p3B8UAAADbAAAADwAAAAAAAAAA&#10;AAAAAAChAgAAZHJzL2Rvd25yZXYueG1sUEsFBgAAAAAEAAQA+QAAAJMDAAAAAA==&#10;" strokecolor="black [3200]" strokeweight="1.5pt">
                  <v:stroke endarrow="block" joinstyle="miter"/>
                </v:shape>
                <v:shape id="Straight Arrow Connector 20" o:spid="_x0000_s1045" type="#_x0000_t32" style="position:absolute;left:12764;top:7821;width:15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lNVcEAAADbAAAADwAAAGRycy9kb3ducmV2LnhtbERPy4rCMBTdC/5DuII7TRUU6RjLMCI+&#10;cOFjmJnlpbl9jM1NaaLWvzcLweXhvOdJaypxo8aVlhWMhhEI4tTqknMF3+fVYAbCeWSNlWVS8CAH&#10;yaLbmWOs7Z2PdDv5XIQQdjEqKLyvYyldWpBBN7Q1ceAy2xj0ATa51A3eQ7ip5DiKptJgyaGhwJq+&#10;Ckovp6tRsP87rH92k2XJv6m+bKrj/zbjpVL9Xvv5AcJT69/il3ujFYzD+vAl/A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KU1VwQAAANsAAAAPAAAAAAAAAAAAAAAA&#10;AKECAABkcnMvZG93bnJldi54bWxQSwUGAAAAAAQABAD5AAAAjwMAAAAA&#10;" strokecolor="black [3200]" strokeweight="1.5pt">
                  <v:stroke endarrow="block" joinstyle="miter"/>
                </v:shape>
                <v:shape id="Straight Arrow Connector 21" o:spid="_x0000_s1046" type="#_x0000_t32" style="position:absolute;left:15503;top:17773;width:0;height:22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XozsUAAADbAAAADwAAAGRycy9kb3ducmV2LnhtbESPQWvCQBSE74X+h+UVequbBCqSuoai&#10;lKbSg8aiPT6yzySafRuyW03/vSsIHoeZ+YaZZoNpxYl611hWEI8iEMSl1Q1XCn42Hy8TEM4ja2wt&#10;k4J/cpDNHh+mmGp75jWdCl+JAGGXooLa+y6V0pU1GXQj2xEHb297gz7IvpK6x3OAm1YmUTSWBhsO&#10;CzV2NK+pPBZ/RsH37+pzu3xdNLwr9TFv14evPS+Uen4a3t9AeBr8PXxr51pBEsP1S/g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XozsUAAADbAAAADwAAAAAAAAAA&#10;AAAAAAChAgAAZHJzL2Rvd25yZXYueG1sUEsFBgAAAAAEAAQA+QAAAJMDAAAAAA==&#10;" strokecolor="black [3200]" strokeweight="1.5pt">
                  <v:stroke endarrow="block" joinstyle="miter"/>
                </v:shape>
                <v:shape id="Straight Arrow Connector 22" o:spid="_x0000_s1047" type="#_x0000_t32" style="position:absolute;left:6678;top:17773;width:18;height:22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d2ucQAAADbAAAADwAAAGRycy9kb3ducmV2LnhtbESPT4vCMBTE74LfITzBm6YWXJZqFFFE&#10;XTysf1CPj+bZVpuX0kSt336zsLDHYWZ+w4ynjSnFk2pXWFYw6EcgiFOrC84UHA/L3icI55E1lpZJ&#10;wZscTCft1hgTbV+8o+feZyJA2CWoIPe+SqR0aU4GXd9WxMG72tqgD7LOpK7xFeCmlHEUfUiDBYeF&#10;HCua55Te9w+jYHv5Xp2+houCz6m+r8vdbXPlhVLdTjMbgfDU+P/wX3utFcQx/H4JP0BO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3a5xAAAANsAAAAPAAAAAAAAAAAA&#10;AAAAAKECAABkcnMvZG93bnJldi54bWxQSwUGAAAAAAQABAD5AAAAkgMAAAAA&#10;" strokecolor="black [3200]" strokeweight="1.5pt">
                  <v:stroke endarrow="block" joinstyle="miter"/>
                </v:shape>
                <v:shapetype id="_x0000_t33" coordsize="21600,21600" o:spt="33" o:oned="t" path="m,l21600,r,21600e" filled="f">
                  <v:stroke joinstyle="miter"/>
                  <v:path arrowok="t" fillok="f" o:connecttype="none"/>
                  <o:lock v:ext="edit" shapetype="t"/>
                </v:shapetype>
                <v:shape id="Elbow Connector 23" o:spid="_x0000_s1048" type="#_x0000_t33" style="position:absolute;left:2786;top:1833;width:4404;height:409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SEgMIAAADbAAAADwAAAGRycy9kb3ducmV2LnhtbESP0YrCMBRE3xf8h3AF39ZUKyLVKCoI&#10;PsjKWj/g0lzbYnNTm2irX78RhH0cZuYMs1h1phIPalxpWcFoGIEgzqwuOVdwTnffMxDOI2usLJOC&#10;JzlYLXtfC0y0bfmXHiefiwBhl6CCwvs6kdJlBRl0Q1sTB+9iG4M+yCaXusE2wE0lx1E0lQZLDgsF&#10;1rQtKLue7iZQDrOjj9tp7mK7sbefQ6on6UupQb9bz0F46vx/+NPeawXjGN5fw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gSEgMIAAADbAAAADwAAAAAAAAAAAAAA&#10;AAChAgAAZHJzL2Rvd25yZXYueG1sUEsFBgAAAAAEAAQA+QAAAJADAAAAAA==&#10;" strokecolor="black [3200]" strokeweight="1.5pt">
                  <v:stroke endarrow="block"/>
                </v:shape>
                <v:shape id="Elbow Connector 24" o:spid="_x0000_s1049" type="#_x0000_t33" style="position:absolute;left:2786;top:9977;width:585;height:578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0par8AAADbAAAADwAAAGRycy9kb3ducmV2LnhtbESPzQrCMBCE74LvEFbwpqkiItUoIooK&#10;Xvx5gLVZ22KzKU1s69sbQfA4zMw3zGLVmkLUVLncsoLRMAJBnFidc6rgdt0NZiCcR9ZYWCYFb3Kw&#10;WnY7C4y1bfhM9cWnIkDYxagg876MpXRJRgbd0JbEwXvYyqAPskqlrrAJcFPIcRRNpcGcw0KGJW0y&#10;Sp6Xl1HwSrfv+njC+3l0imh/m1LTrEmpfq9dz0F4av0//GsftILxBL5fwg+Qy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10par8AAADbAAAADwAAAAAAAAAAAAAAAACh&#10;AgAAZHJzL2Rvd25yZXYueG1sUEsFBgAAAAAEAAQA+QAAAI0DAAAAAA==&#10;" strokecolor="black [3200]" strokeweight="1.5pt">
                  <v:stroke endarrow="block"/>
                </v:shape>
                <w10:anchorlock/>
              </v:group>
            </w:pict>
          </mc:Fallback>
        </mc:AlternateContent>
      </w:r>
    </w:p>
    <w:p w14:paraId="2541CE3B" w14:textId="4B9022B2" w:rsidR="007E5945" w:rsidRPr="007E5945" w:rsidRDefault="007E5945" w:rsidP="00B50382">
      <w:pPr>
        <w:spacing w:line="480" w:lineRule="auto"/>
        <w:jc w:val="both"/>
        <w:rPr>
          <w:i/>
        </w:rPr>
      </w:pPr>
      <w:r>
        <w:rPr>
          <w:i/>
        </w:rPr>
        <w:t xml:space="preserve">Figure 1 Proposed HTL biorefinery </w:t>
      </w:r>
      <w:r w:rsidR="00430476">
        <w:rPr>
          <w:i/>
        </w:rPr>
        <w:t xml:space="preserve">concept </w:t>
      </w:r>
      <w:r>
        <w:rPr>
          <w:i/>
        </w:rPr>
        <w:t xml:space="preserve">encompassing </w:t>
      </w:r>
      <w:r w:rsidR="00447236">
        <w:rPr>
          <w:i/>
        </w:rPr>
        <w:t>a</w:t>
      </w:r>
      <w:r>
        <w:rPr>
          <w:i/>
        </w:rPr>
        <w:t>lgal remediation of AMD</w:t>
      </w:r>
    </w:p>
    <w:p w14:paraId="31E85B23" w14:textId="77777777" w:rsidR="0026765D" w:rsidRDefault="0026765D" w:rsidP="00B50382">
      <w:pPr>
        <w:spacing w:line="480" w:lineRule="auto"/>
        <w:rPr>
          <w:b/>
        </w:rPr>
      </w:pPr>
      <w:r>
        <w:rPr>
          <w:b/>
        </w:rPr>
        <w:br w:type="page"/>
      </w:r>
    </w:p>
    <w:p w14:paraId="39FD21B6" w14:textId="77777777" w:rsidR="0020482B" w:rsidRDefault="0020482B" w:rsidP="00B50382">
      <w:pPr>
        <w:spacing w:line="480" w:lineRule="auto"/>
        <w:rPr>
          <w:b/>
          <w:sz w:val="28"/>
        </w:rPr>
      </w:pPr>
      <w:r w:rsidRPr="0026765D">
        <w:rPr>
          <w:b/>
          <w:sz w:val="28"/>
        </w:rPr>
        <w:lastRenderedPageBreak/>
        <w:t>2. Materials and Methods</w:t>
      </w:r>
    </w:p>
    <w:p w14:paraId="3F030E58" w14:textId="77777777" w:rsidR="0020482B" w:rsidRDefault="0020482B" w:rsidP="00B50382">
      <w:pPr>
        <w:spacing w:line="480" w:lineRule="auto"/>
        <w:rPr>
          <w:b/>
          <w:sz w:val="24"/>
        </w:rPr>
      </w:pPr>
      <w:r w:rsidRPr="00102D59">
        <w:rPr>
          <w:b/>
          <w:sz w:val="24"/>
        </w:rPr>
        <w:t xml:space="preserve">2.1 Materials </w:t>
      </w:r>
    </w:p>
    <w:p w14:paraId="734A2DE4" w14:textId="1EFEDEA4" w:rsidR="0020482B" w:rsidRPr="00E7405E" w:rsidRDefault="0020482B" w:rsidP="00B50382">
      <w:pPr>
        <w:spacing w:line="480" w:lineRule="auto"/>
        <w:jc w:val="both"/>
      </w:pPr>
      <w:r w:rsidRPr="00BB06F4">
        <w:t xml:space="preserve">Spirulina </w:t>
      </w:r>
      <w:r w:rsidRPr="00823FA3">
        <w:t xml:space="preserve">powder </w:t>
      </w:r>
      <w:r w:rsidR="00F04C81">
        <w:t>(</w:t>
      </w:r>
      <w:r w:rsidR="00F04C81" w:rsidRPr="0046178F">
        <w:rPr>
          <w:i/>
        </w:rPr>
        <w:t>Arthrospira platensis</w:t>
      </w:r>
      <w:r w:rsidR="00F04C81">
        <w:t xml:space="preserve">) </w:t>
      </w:r>
      <w:r w:rsidRPr="00823FA3">
        <w:t>was obtained from Bulk Powd</w:t>
      </w:r>
      <w:r w:rsidR="00F04C81">
        <w:t xml:space="preserve">ers </w:t>
      </w:r>
      <w:r w:rsidR="009156AC">
        <w:t>(Colchester,</w:t>
      </w:r>
      <w:r w:rsidR="007A4807">
        <w:t xml:space="preserve"> </w:t>
      </w:r>
      <w:r w:rsidR="00447236">
        <w:t>UK). T</w:t>
      </w:r>
      <w:r w:rsidR="001146BD">
        <w:t xml:space="preserve">he </w:t>
      </w:r>
      <w:r w:rsidR="007A4807">
        <w:t xml:space="preserve">dried </w:t>
      </w:r>
      <w:r w:rsidR="001146BD">
        <w:t xml:space="preserve">biomass </w:t>
      </w:r>
      <w:r w:rsidR="000E355E">
        <w:t xml:space="preserve">contained </w:t>
      </w:r>
      <w:r w:rsidR="00F04C81">
        <w:t>63% protein, 20% carbohydrate, 6% fat and 11% miscellaneous</w:t>
      </w:r>
      <w:r w:rsidR="000E355E">
        <w:t xml:space="preserve"> biochemical content</w:t>
      </w:r>
      <w:r>
        <w:t xml:space="preserve">. </w:t>
      </w:r>
      <w:r w:rsidRPr="00823FA3">
        <w:t>Metal sulfates</w:t>
      </w:r>
      <w:r w:rsidR="00357971">
        <w:t xml:space="preserve"> (99%+),</w:t>
      </w:r>
      <w:r w:rsidRPr="00823FA3">
        <w:t xml:space="preserve"> (FeSO</w:t>
      </w:r>
      <w:r w:rsidRPr="00823FA3">
        <w:rPr>
          <w:vertAlign w:val="subscript"/>
        </w:rPr>
        <w:t>4</w:t>
      </w:r>
      <w:r>
        <w:rPr>
          <w:vertAlign w:val="subscript"/>
        </w:rPr>
        <w:t xml:space="preserve"> </w:t>
      </w:r>
      <w:r w:rsidRPr="00102D59">
        <w:rPr>
          <w:vertAlign w:val="superscript"/>
        </w:rPr>
        <w:t>.</w:t>
      </w:r>
      <w:r>
        <w:t xml:space="preserve"> </w:t>
      </w:r>
      <w:r w:rsidRPr="00102D59">
        <w:t>7</w:t>
      </w:r>
      <w:r w:rsidRPr="00823FA3">
        <w:t>H</w:t>
      </w:r>
      <w:r w:rsidRPr="00102D59">
        <w:rPr>
          <w:vertAlign w:val="subscript"/>
        </w:rPr>
        <w:t>2</w:t>
      </w:r>
      <w:r w:rsidRPr="00823FA3">
        <w:t>O, MgSO</w:t>
      </w:r>
      <w:r w:rsidRPr="00823FA3">
        <w:rPr>
          <w:vertAlign w:val="subscript"/>
        </w:rPr>
        <w:t>4</w:t>
      </w:r>
      <w:r>
        <w:t xml:space="preserve"> </w:t>
      </w:r>
      <w:r w:rsidRPr="00102D59">
        <w:rPr>
          <w:vertAlign w:val="superscript"/>
        </w:rPr>
        <w:t>.</w:t>
      </w:r>
      <w:r>
        <w:t xml:space="preserve"> </w:t>
      </w:r>
      <w:r w:rsidRPr="00102D59">
        <w:t>7</w:t>
      </w:r>
      <w:r w:rsidRPr="00823FA3">
        <w:t>H</w:t>
      </w:r>
      <w:r w:rsidRPr="00102D59">
        <w:rPr>
          <w:vertAlign w:val="subscript"/>
        </w:rPr>
        <w:t>2</w:t>
      </w:r>
      <w:r w:rsidRPr="00823FA3">
        <w:t>O, ZnSO</w:t>
      </w:r>
      <w:r w:rsidRPr="00823FA3">
        <w:rPr>
          <w:vertAlign w:val="subscript"/>
        </w:rPr>
        <w:t>4</w:t>
      </w:r>
      <w:r w:rsidRPr="00823FA3">
        <w:t>.</w:t>
      </w:r>
      <w:r w:rsidRPr="00102D59">
        <w:rPr>
          <w:vertAlign w:val="superscript"/>
        </w:rPr>
        <w:t xml:space="preserve"> .</w:t>
      </w:r>
      <w:r>
        <w:t xml:space="preserve"> </w:t>
      </w:r>
      <w:r w:rsidRPr="00102D59">
        <w:t>7</w:t>
      </w:r>
      <w:r w:rsidRPr="00823FA3">
        <w:t>H</w:t>
      </w:r>
      <w:r w:rsidRPr="00102D59">
        <w:rPr>
          <w:vertAlign w:val="subscript"/>
        </w:rPr>
        <w:t>2</w:t>
      </w:r>
      <w:r w:rsidRPr="00823FA3">
        <w:t>O, PbSO</w:t>
      </w:r>
      <w:r w:rsidRPr="00823FA3">
        <w:rPr>
          <w:vertAlign w:val="subscript"/>
        </w:rPr>
        <w:t>4</w:t>
      </w:r>
      <w:r w:rsidRPr="00823FA3">
        <w:t xml:space="preserve"> and SnSO</w:t>
      </w:r>
      <w:r w:rsidRPr="00823FA3">
        <w:rPr>
          <w:vertAlign w:val="subscript"/>
        </w:rPr>
        <w:t>4</w:t>
      </w:r>
      <w:r w:rsidRPr="00823FA3">
        <w:t>) were obtained from Sigma</w:t>
      </w:r>
      <w:r>
        <w:t xml:space="preserve"> </w:t>
      </w:r>
      <w:r w:rsidRPr="00823FA3">
        <w:t>Aldrich</w:t>
      </w:r>
      <w:r>
        <w:t xml:space="preserve"> and used without further purification</w:t>
      </w:r>
      <w:r w:rsidRPr="00823FA3">
        <w:t>.</w:t>
      </w:r>
      <w:r w:rsidR="00DA214D">
        <w:t xml:space="preserve"> </w:t>
      </w:r>
      <w:r w:rsidR="00E7405E">
        <w:t>The HCl and HNO</w:t>
      </w:r>
      <w:r w:rsidR="00E7405E" w:rsidRPr="00E7405E">
        <w:rPr>
          <w:vertAlign w:val="subscript"/>
        </w:rPr>
        <w:t>3</w:t>
      </w:r>
      <w:r w:rsidR="00E7405E">
        <w:rPr>
          <w:vertAlign w:val="subscript"/>
        </w:rPr>
        <w:t xml:space="preserve"> </w:t>
      </w:r>
      <w:r w:rsidR="00E7405E">
        <w:t xml:space="preserve">(both trace metal grade) were purchased from Fisher Chemicals. </w:t>
      </w:r>
    </w:p>
    <w:p w14:paraId="7FCF818E" w14:textId="77777777" w:rsidR="0020482B" w:rsidRPr="00102D59" w:rsidRDefault="0020482B" w:rsidP="00B50382">
      <w:pPr>
        <w:spacing w:line="480" w:lineRule="auto"/>
        <w:jc w:val="both"/>
        <w:rPr>
          <w:b/>
          <w:sz w:val="24"/>
        </w:rPr>
      </w:pPr>
      <w:r w:rsidRPr="00102D59">
        <w:rPr>
          <w:b/>
          <w:sz w:val="24"/>
        </w:rPr>
        <w:t>2.2 Methods</w:t>
      </w:r>
    </w:p>
    <w:p w14:paraId="56AA1CFF" w14:textId="339A8DD6" w:rsidR="0020482B" w:rsidRDefault="0020482B" w:rsidP="00B50382">
      <w:pPr>
        <w:tabs>
          <w:tab w:val="left" w:pos="2495"/>
        </w:tabs>
        <w:spacing w:line="480" w:lineRule="auto"/>
        <w:jc w:val="both"/>
      </w:pPr>
      <w:r>
        <w:t xml:space="preserve">2.2.1 </w:t>
      </w:r>
      <w:r w:rsidR="00801ECD">
        <w:t>H</w:t>
      </w:r>
      <w:r w:rsidR="00801ECD" w:rsidRPr="00801ECD">
        <w:t xml:space="preserve">ydrothermal liquefaction </w:t>
      </w:r>
      <w:r w:rsidR="00801ECD">
        <w:t>(</w:t>
      </w:r>
      <w:r>
        <w:t>HTL</w:t>
      </w:r>
      <w:r w:rsidR="00801ECD">
        <w:t>)</w:t>
      </w:r>
      <w:r>
        <w:t xml:space="preserve"> batch reactions</w:t>
      </w:r>
    </w:p>
    <w:p w14:paraId="57273894" w14:textId="4C327F45" w:rsidR="0020482B" w:rsidRPr="00823FA3" w:rsidRDefault="005D1871" w:rsidP="00B50382">
      <w:pPr>
        <w:tabs>
          <w:tab w:val="left" w:pos="2495"/>
        </w:tabs>
        <w:spacing w:line="480" w:lineRule="auto"/>
        <w:jc w:val="both"/>
      </w:pPr>
      <w:r w:rsidRPr="00823FA3">
        <w:t xml:space="preserve">Batch liquefaction was conducted in </w:t>
      </w:r>
      <w:r>
        <w:t xml:space="preserve">accordance with </w:t>
      </w:r>
      <w:r w:rsidR="00952019">
        <w:t xml:space="preserve">previous </w:t>
      </w:r>
      <w:r w:rsidR="008272AC">
        <w:t>literature precedent</w:t>
      </w:r>
      <w:r>
        <w:t xml:space="preserve"> </w:t>
      </w:r>
      <w:r>
        <w:fldChar w:fldCharType="begin"/>
      </w:r>
      <w:r w:rsidR="00E7405E">
        <w:instrText xml:space="preserve"> ADDIN EN.CITE &lt;EndNote&gt;&lt;Cite&gt;&lt;Author&gt;Ross&lt;/Author&gt;&lt;Year&gt;2010&lt;/Year&gt;&lt;RecNum&gt;961&lt;/RecNum&gt;&lt;DisplayText&gt;[23]&lt;/DisplayText&gt;&lt;record&gt;&lt;rec-number&gt;961&lt;/rec-number&gt;&lt;foreign-keys&gt;&lt;key app="EN" db-id="fa5pvx0a352spiedf5tvff5409zrwa0zxvsd"&gt;961&lt;/key&gt;&lt;/foreign-keys&gt;&lt;ref-type name="Journal Article"&gt;17&lt;/ref-type&gt;&lt;contributors&gt;&lt;authors&gt;&lt;author&gt;Ross, A. B.&lt;/author&gt;&lt;author&gt;Biller, P.&lt;/author&gt;&lt;author&gt;Kubacki, M. L.&lt;/author&gt;&lt;author&gt;Li, H.&lt;/author&gt;&lt;author&gt;Lea-Langton, A.&lt;/author&gt;&lt;author&gt;Jones, J. M.&lt;/author&gt;&lt;/authors&gt;&lt;/contributors&gt;&lt;titles&gt;&lt;title&gt;Hydrothermal processing of microalgae using alkali and organic acids&lt;/title&gt;&lt;secondary-title&gt;Fuel&lt;/secondary-title&gt;&lt;/titles&gt;&lt;periodical&gt;&lt;full-title&gt;Fuel&lt;/full-title&gt;&lt;/periodical&gt;&lt;pages&gt;2234-2243&lt;/pages&gt;&lt;volume&gt;89&lt;/volume&gt;&lt;number&gt;9&lt;/number&gt;&lt;keywords&gt;&lt;keyword&gt;Microalgae&lt;/keyword&gt;&lt;keyword&gt;Hydrothermal&lt;/keyword&gt;&lt;keyword&gt;Liquefaction&lt;/keyword&gt;&lt;/keywords&gt;&lt;dates&gt;&lt;year&gt;2010&lt;/year&gt;&lt;/dates&gt;&lt;isbn&gt;0016-2361&lt;/isbn&gt;&lt;urls&gt;&lt;related-urls&gt;&lt;url&gt;http://www.sciencedirect.com/science/article/pii/S0016236110000335&lt;/url&gt;&lt;/related-urls&gt;&lt;/urls&gt;&lt;electronic-resource-num&gt;http://dx.doi.org/10.1016/j.fuel.2010.01.025&lt;/electronic-resource-num&gt;&lt;/record&gt;&lt;/Cite&gt;&lt;/EndNote&gt;</w:instrText>
      </w:r>
      <w:r>
        <w:fldChar w:fldCharType="separate"/>
      </w:r>
      <w:r w:rsidR="00E7405E">
        <w:rPr>
          <w:noProof/>
        </w:rPr>
        <w:t>[23]</w:t>
      </w:r>
      <w:r>
        <w:fldChar w:fldCharType="end"/>
      </w:r>
      <w:r>
        <w:t>. The reactor</w:t>
      </w:r>
      <w:r w:rsidR="0020482B" w:rsidRPr="00823FA3">
        <w:t xml:space="preserve">, connected to a pressure gauge, needle valve, and spring-loaded relief valve, </w:t>
      </w:r>
      <w:r>
        <w:t>contained</w:t>
      </w:r>
      <w:r w:rsidR="0020482B" w:rsidRPr="00823FA3">
        <w:t xml:space="preserve"> a total internal volume of </w:t>
      </w:r>
      <w:r w:rsidR="0020482B" w:rsidRPr="00823FA3">
        <w:rPr>
          <w:i/>
        </w:rPr>
        <w:t>ca.</w:t>
      </w:r>
      <w:r w:rsidR="0020482B" w:rsidRPr="00823FA3">
        <w:t xml:space="preserve"> 50 </w:t>
      </w:r>
      <w:r w:rsidR="001146BD">
        <w:t>ml</w:t>
      </w:r>
      <w:r w:rsidR="0020482B" w:rsidRPr="00823FA3">
        <w:t>. The reactor body was heated inside a vertical tubular furnace, with the temperature of the reaction mixture monitored using a thermocouple connected to data logging software.</w:t>
      </w:r>
      <w:r w:rsidR="0020482B">
        <w:t xml:space="preserve"> </w:t>
      </w:r>
      <w:r w:rsidR="0020482B" w:rsidRPr="00823FA3">
        <w:t xml:space="preserve">The reactor was loaded with </w:t>
      </w:r>
      <w:r w:rsidR="00A12CE4">
        <w:t>approximately</w:t>
      </w:r>
      <w:r w:rsidR="00430476">
        <w:t xml:space="preserve"> </w:t>
      </w:r>
      <w:r w:rsidR="0020482B" w:rsidRPr="00823FA3">
        <w:t>4</w:t>
      </w:r>
      <w:r w:rsidR="00430476">
        <w:t>.000</w:t>
      </w:r>
      <w:r w:rsidR="0020482B" w:rsidRPr="00823FA3">
        <w:t xml:space="preserve"> g</w:t>
      </w:r>
      <w:r w:rsidR="00430476">
        <w:t xml:space="preserve"> of</w:t>
      </w:r>
      <w:r w:rsidR="0020482B" w:rsidRPr="00823FA3">
        <w:t xml:space="preserve"> </w:t>
      </w:r>
      <w:r w:rsidR="00C62E3E">
        <w:t xml:space="preserve">dry </w:t>
      </w:r>
      <w:r w:rsidR="0020482B" w:rsidRPr="00823FA3">
        <w:t xml:space="preserve">biomass, 0–1500 mg metal sulfates, and 20 </w:t>
      </w:r>
      <w:r w:rsidR="001146BD">
        <w:t>ml</w:t>
      </w:r>
      <w:r w:rsidR="0020482B" w:rsidRPr="00823FA3">
        <w:t xml:space="preserve"> deionized water, and heated within the furnace, pre-heated to 550 °C, until the specified reac</w:t>
      </w:r>
      <w:r w:rsidR="00447236">
        <w:t xml:space="preserve">tion temperatures were reached, </w:t>
      </w:r>
      <w:r w:rsidR="0020482B" w:rsidRPr="00823FA3">
        <w:t>310</w:t>
      </w:r>
      <w:r w:rsidR="00357971">
        <w:t xml:space="preserve"> </w:t>
      </w:r>
      <w:r w:rsidR="00447236" w:rsidRPr="00823FA3">
        <w:t>°C</w:t>
      </w:r>
      <w:r w:rsidR="00447236">
        <w:t xml:space="preserve"> </w:t>
      </w:r>
      <w:r w:rsidR="00357971">
        <w:t xml:space="preserve">(15 min) </w:t>
      </w:r>
      <w:r w:rsidR="0020482B" w:rsidRPr="00823FA3">
        <w:t>–</w:t>
      </w:r>
      <w:r w:rsidR="00357971">
        <w:t xml:space="preserve"> </w:t>
      </w:r>
      <w:r w:rsidR="0020482B" w:rsidRPr="00823FA3">
        <w:t>350 °C</w:t>
      </w:r>
      <w:r w:rsidR="00357971">
        <w:t xml:space="preserve"> (</w:t>
      </w:r>
      <w:r w:rsidR="0020482B" w:rsidRPr="00823FA3">
        <w:t xml:space="preserve">35 min), then removed from the furnace and allowed to cool to room temperature. </w:t>
      </w:r>
      <w:r w:rsidR="0020482B">
        <w:t>Mixing was provide</w:t>
      </w:r>
      <w:r w:rsidR="004A652E">
        <w:t>d by convection in the reactor, t</w:t>
      </w:r>
      <w:r w:rsidR="0020482B">
        <w:t xml:space="preserve">emperature profiles of the reaction are given in the supporting information. </w:t>
      </w:r>
      <w:r w:rsidR="000E355E" w:rsidRPr="00823FA3">
        <w:t xml:space="preserve">In order to determine experimental error and test the repeatability of experimental results, three repeat runs of HTL of pure </w:t>
      </w:r>
      <w:r w:rsidR="000E355E" w:rsidRPr="000E355E">
        <w:t>Spirulina</w:t>
      </w:r>
      <w:r w:rsidR="000E355E" w:rsidRPr="00823FA3">
        <w:t xml:space="preserve"> at </w:t>
      </w:r>
      <w:r w:rsidR="000E355E">
        <w:t xml:space="preserve">both 310 </w:t>
      </w:r>
      <w:r w:rsidR="000E355E" w:rsidRPr="00823FA3">
        <w:t xml:space="preserve">°C </w:t>
      </w:r>
      <w:r w:rsidR="000E355E">
        <w:t xml:space="preserve">and </w:t>
      </w:r>
      <w:r w:rsidR="000E355E" w:rsidRPr="00823FA3">
        <w:t xml:space="preserve">350 °C were </w:t>
      </w:r>
      <w:r w:rsidR="000E355E">
        <w:t>used</w:t>
      </w:r>
      <w:r w:rsidR="000E355E" w:rsidRPr="00823FA3">
        <w:t xml:space="preserve"> to </w:t>
      </w:r>
      <w:r w:rsidR="00801ECD">
        <w:t>assess</w:t>
      </w:r>
      <w:r w:rsidR="00801ECD" w:rsidRPr="00823FA3">
        <w:t xml:space="preserve"> </w:t>
      </w:r>
      <w:r w:rsidR="000E355E">
        <w:t xml:space="preserve">the </w:t>
      </w:r>
      <w:r w:rsidR="00801ECD">
        <w:t xml:space="preserve">variation </w:t>
      </w:r>
      <w:r w:rsidR="000E355E">
        <w:t>in the experimental set-up.</w:t>
      </w:r>
      <w:r w:rsidR="000E355E" w:rsidRPr="00823FA3">
        <w:t xml:space="preserve"> </w:t>
      </w:r>
      <w:r w:rsidR="0020482B" w:rsidRPr="00823FA3">
        <w:t xml:space="preserve">The reaction pressure required for the hydrothermal liquefaction reaction was generated </w:t>
      </w:r>
      <w:r w:rsidR="0020482B" w:rsidRPr="00823FA3">
        <w:rPr>
          <w:i/>
        </w:rPr>
        <w:t>in situ</w:t>
      </w:r>
      <w:r w:rsidR="0020482B" w:rsidRPr="00823FA3">
        <w:t xml:space="preserve"> through the expansion of the</w:t>
      </w:r>
      <w:r w:rsidR="004A652E">
        <w:t xml:space="preserve"> </w:t>
      </w:r>
      <w:r w:rsidR="008225FF">
        <w:t>reactor fluids</w:t>
      </w:r>
      <w:r w:rsidR="00DE08F6">
        <w:t xml:space="preserve"> and partial vaporisation of the water</w:t>
      </w:r>
      <w:r w:rsidR="0020482B" w:rsidRPr="00823FA3">
        <w:t xml:space="preserve">. </w:t>
      </w:r>
      <w:r w:rsidR="00D67213">
        <w:t>The reaction pressure varied from 120 bar at 310 °C to 180 bar at 350 °C</w:t>
      </w:r>
      <w:bookmarkStart w:id="0" w:name="_GoBack"/>
      <w:bookmarkEnd w:id="0"/>
    </w:p>
    <w:p w14:paraId="16B26CB8" w14:textId="77777777" w:rsidR="0020482B" w:rsidRPr="00823FA3" w:rsidRDefault="0020482B" w:rsidP="00B50382">
      <w:pPr>
        <w:spacing w:line="480" w:lineRule="auto"/>
        <w:jc w:val="both"/>
        <w:rPr>
          <w:sz w:val="23"/>
          <w:szCs w:val="23"/>
        </w:rPr>
      </w:pPr>
      <w:r>
        <w:t>2.2.2 Gas analysis</w:t>
      </w:r>
    </w:p>
    <w:p w14:paraId="56019859" w14:textId="77777777" w:rsidR="0020482B" w:rsidRDefault="0020482B" w:rsidP="00B50382">
      <w:pPr>
        <w:tabs>
          <w:tab w:val="left" w:pos="3845"/>
        </w:tabs>
        <w:spacing w:line="480" w:lineRule="auto"/>
        <w:jc w:val="both"/>
      </w:pPr>
      <w:r w:rsidRPr="00823FA3">
        <w:lastRenderedPageBreak/>
        <w:t xml:space="preserve">After cooling, gaseous products were released </w:t>
      </w:r>
      <w:r w:rsidRPr="00823FA3">
        <w:rPr>
          <w:i/>
        </w:rPr>
        <w:t>via</w:t>
      </w:r>
      <w:r w:rsidRPr="00823FA3">
        <w:t xml:space="preserve"> the needle valve into an inverted, water-filled measuring cylinder to measure gaseous fraction volume. Gas phase yields were calculated using the ideal gas law, assuming an approximate molecular weight of 44 g mol</w:t>
      </w:r>
      <w:r w:rsidRPr="00823FA3">
        <w:rPr>
          <w:vertAlign w:val="superscript"/>
        </w:rPr>
        <w:t>-1</w:t>
      </w:r>
      <w:r w:rsidRPr="00823FA3">
        <w:t xml:space="preserve"> (the molecular mass of CO</w:t>
      </w:r>
      <w:r w:rsidRPr="00823FA3">
        <w:rPr>
          <w:vertAlign w:val="subscript"/>
        </w:rPr>
        <w:t>2</w:t>
      </w:r>
      <w:r w:rsidRPr="00823FA3">
        <w:t>, which makes up approx. 96–98 % of the gaseous product). A sample from each gas phase was separated and analysed using a gas chromatograph (Agilent 7890A) containing an HP-Plot-Q capillary column (using helium as the carrier gas), and fitted with an Agilent 5975C MSD detector. The samples were loaded at 35 °C, hold time 7 min, ramped to 150 °C at 20 °C min</w:t>
      </w:r>
      <w:r w:rsidRPr="00823FA3">
        <w:rPr>
          <w:vertAlign w:val="superscript"/>
        </w:rPr>
        <w:t>-1</w:t>
      </w:r>
      <w:r w:rsidRPr="00823FA3">
        <w:t>, hold time 0 min, ramped to 250 °C at 15 °C min</w:t>
      </w:r>
      <w:r w:rsidRPr="00823FA3">
        <w:rPr>
          <w:vertAlign w:val="superscript"/>
        </w:rPr>
        <w:t>-1</w:t>
      </w:r>
      <w:r w:rsidRPr="00823FA3">
        <w:t>, hold time 16 min.</w:t>
      </w:r>
    </w:p>
    <w:p w14:paraId="163E6F71" w14:textId="77777777" w:rsidR="0020482B" w:rsidRPr="00823FA3" w:rsidRDefault="0020482B" w:rsidP="00B50382">
      <w:pPr>
        <w:spacing w:line="480" w:lineRule="auto"/>
        <w:jc w:val="both"/>
        <w:rPr>
          <w:sz w:val="23"/>
          <w:szCs w:val="23"/>
        </w:rPr>
      </w:pPr>
      <w:r>
        <w:t>2.2.3 Aqueous phase analysis</w:t>
      </w:r>
    </w:p>
    <w:p w14:paraId="7446051C" w14:textId="5D51F61B" w:rsidR="0020482B" w:rsidRPr="00823FA3" w:rsidRDefault="0020482B" w:rsidP="00B50382">
      <w:pPr>
        <w:tabs>
          <w:tab w:val="left" w:pos="3845"/>
        </w:tabs>
        <w:spacing w:line="480" w:lineRule="auto"/>
        <w:jc w:val="both"/>
      </w:pPr>
      <w:r w:rsidRPr="00823FA3">
        <w:t>The aqueous phase was decanted from the reactor contents and filtered</w:t>
      </w:r>
      <w:r w:rsidR="00357971">
        <w:t xml:space="preserve"> through a 0.22 µm filter</w:t>
      </w:r>
      <w:r w:rsidRPr="00823FA3">
        <w:t xml:space="preserve">. The </w:t>
      </w:r>
      <w:r w:rsidR="00357971">
        <w:t xml:space="preserve">dissolved </w:t>
      </w:r>
      <w:r w:rsidRPr="00823FA3">
        <w:t xml:space="preserve">product yield in the water phase was determined </w:t>
      </w:r>
      <w:r w:rsidR="008225FF">
        <w:t>gravimetrically from</w:t>
      </w:r>
      <w:r w:rsidRPr="00823FA3">
        <w:t xml:space="preserve"> a 2.5 </w:t>
      </w:r>
      <w:r w:rsidR="001146BD">
        <w:t>ml</w:t>
      </w:r>
      <w:r w:rsidRPr="00823FA3">
        <w:t xml:space="preserve"> aliquot</w:t>
      </w:r>
      <w:r w:rsidR="008225FF">
        <w:t>,</w:t>
      </w:r>
      <w:r w:rsidRPr="00823FA3">
        <w:t xml:space="preserve"> dr</w:t>
      </w:r>
      <w:r w:rsidR="008225FF">
        <w:t>ied</w:t>
      </w:r>
      <w:r w:rsidRPr="00823FA3">
        <w:t xml:space="preserve"> a</w:t>
      </w:r>
      <w:r w:rsidR="008225FF">
        <w:t>t</w:t>
      </w:r>
      <w:r w:rsidRPr="00823FA3">
        <w:t xml:space="preserve"> 60 °C </w:t>
      </w:r>
      <w:r w:rsidR="008225FF">
        <w:t>for 12 hours</w:t>
      </w:r>
      <w:r w:rsidRPr="00823FA3">
        <w:t>.</w:t>
      </w:r>
      <w:r>
        <w:t xml:space="preserve"> </w:t>
      </w:r>
      <w:r w:rsidRPr="00823FA3">
        <w:t xml:space="preserve">The concentration of ammonium ions in the water phase was determined </w:t>
      </w:r>
      <w:r w:rsidR="008225FF">
        <w:t xml:space="preserve">spectrophotometricaly </w:t>
      </w:r>
      <w:r w:rsidRPr="00823FA3">
        <w:t>using a Randox Urea analysis test kit</w:t>
      </w:r>
      <w:r w:rsidR="00C62E3E">
        <w:t xml:space="preserve"> (Merck, Milipore)</w:t>
      </w:r>
      <w:r w:rsidRPr="00823FA3">
        <w:t xml:space="preserve">. The sample was diluted with </w:t>
      </w:r>
      <w:r w:rsidR="00DD699A">
        <w:t>deionised</w:t>
      </w:r>
      <w:r w:rsidRPr="00823FA3">
        <w:t xml:space="preserve"> water to a concentration of 1 % prior</w:t>
      </w:r>
      <w:r w:rsidR="001146BD">
        <w:t xml:space="preserve"> to analysis. Subsequently 10 μl</w:t>
      </w:r>
      <w:r w:rsidRPr="00823FA3">
        <w:t xml:space="preserve"> of sample wa</w:t>
      </w:r>
      <w:r w:rsidR="009F42EB">
        <w:t>s reacted for 5 min with 1000 μl</w:t>
      </w:r>
      <w:r w:rsidRPr="00823FA3">
        <w:t xml:space="preserve"> of a urease reactant, fo</w:t>
      </w:r>
      <w:r w:rsidR="001146BD">
        <w:t>llowed by the addition of 200 μl</w:t>
      </w:r>
      <w:r w:rsidRPr="00823FA3">
        <w:t xml:space="preserve"> of sodium hypochlorite solution to induce the colour change. After 10 min, sample absorbance was measured at 600 nm and urea concentration calculated relative to a standard solution. From this, ammonium ion concentration was calculated.</w:t>
      </w:r>
      <w:r>
        <w:t xml:space="preserve"> </w:t>
      </w:r>
      <w:r w:rsidRPr="00823FA3">
        <w:t>Total nitrogen content analysis was carried out using a Merck-Millipore Spectroquant Total Nitrogen Cell Test kit</w:t>
      </w:r>
      <w:r w:rsidR="00801ECD">
        <w:t xml:space="preserve"> and photometer</w:t>
      </w:r>
      <w:r w:rsidRPr="00823FA3">
        <w:t xml:space="preserve">, based on the Koroleff method of persulphate digestion to transform organic and inorganic N compounds into nitrate. Each sample was diluted to 0.1% prior to analysis. 10 </w:t>
      </w:r>
      <w:r w:rsidR="001146BD">
        <w:t>ml</w:t>
      </w:r>
      <w:r w:rsidRPr="00823FA3">
        <w:t xml:space="preserve"> of diluted sample was digested for 1 h at 120 °C, then allowed to cool to room temperature and reacted with a benzoic acid derivative form a nitro compound. </w:t>
      </w:r>
    </w:p>
    <w:p w14:paraId="3D3EF2D1" w14:textId="6A24C585" w:rsidR="004A652E" w:rsidRDefault="0020482B" w:rsidP="00B50382">
      <w:pPr>
        <w:spacing w:line="480" w:lineRule="auto"/>
        <w:jc w:val="both"/>
      </w:pPr>
      <w:r w:rsidRPr="00823FA3">
        <w:t xml:space="preserve">Phosphate concentration in the aqueous phase was determined using </w:t>
      </w:r>
      <w:r w:rsidR="00801ECD">
        <w:t>the</w:t>
      </w:r>
      <w:r w:rsidR="00801ECD" w:rsidRPr="00823FA3">
        <w:t xml:space="preserve"> </w:t>
      </w:r>
      <w:r w:rsidR="00801ECD" w:rsidRPr="00801ECD">
        <w:t xml:space="preserve">Merck-Millipore </w:t>
      </w:r>
      <w:r w:rsidRPr="00823FA3">
        <w:t>Spectroquant test kit and photometer system. Prior to analysis, each sample was diluted by a factor of 5–1000, depending on estimated phosphate content, and reacted with the reagents provided.</w:t>
      </w:r>
      <w:r w:rsidR="001146BD">
        <w:t xml:space="preserve"> </w:t>
      </w:r>
      <w:r w:rsidR="00801ECD">
        <w:t>A</w:t>
      </w:r>
      <w:r w:rsidR="00801ECD" w:rsidRPr="00823FA3">
        <w:t xml:space="preserve">queous </w:t>
      </w:r>
      <w:r w:rsidR="000912AA" w:rsidRPr="00823FA3">
        <w:t>sample</w:t>
      </w:r>
      <w:r w:rsidR="000912AA">
        <w:t>s</w:t>
      </w:r>
      <w:r w:rsidR="00801ECD">
        <w:t xml:space="preserve"> (6 </w:t>
      </w:r>
      <w:r w:rsidR="001146BD">
        <w:t>ml</w:t>
      </w:r>
      <w:r w:rsidR="00801ECD">
        <w:t>)</w:t>
      </w:r>
      <w:r w:rsidR="000912AA">
        <w:t xml:space="preserve">, </w:t>
      </w:r>
      <w:r w:rsidR="000912AA" w:rsidRPr="00823FA3">
        <w:t xml:space="preserve"> diluted in 11.6 </w:t>
      </w:r>
      <w:r w:rsidR="001146BD">
        <w:t xml:space="preserve">ml </w:t>
      </w:r>
      <w:r w:rsidR="000912AA" w:rsidRPr="00823FA3">
        <w:t>deionised water</w:t>
      </w:r>
      <w:r w:rsidR="000912AA">
        <w:t xml:space="preserve"> were acidified with 0.4 </w:t>
      </w:r>
      <w:r w:rsidR="001146BD">
        <w:t>ml</w:t>
      </w:r>
      <w:r w:rsidR="000912AA">
        <w:t xml:space="preserve"> 67% v/v HNO</w:t>
      </w:r>
      <w:r w:rsidR="000912AA" w:rsidRPr="004A652E">
        <w:rPr>
          <w:vertAlign w:val="subscript"/>
        </w:rPr>
        <w:t>3</w:t>
      </w:r>
      <w:r w:rsidR="000912AA">
        <w:t xml:space="preserve"> </w:t>
      </w:r>
      <w:r w:rsidRPr="00823FA3">
        <w:t xml:space="preserve"> </w:t>
      </w:r>
      <w:r w:rsidR="000912AA">
        <w:t>prior to</w:t>
      </w:r>
      <w:r w:rsidR="004A652E">
        <w:t xml:space="preserve"> </w:t>
      </w:r>
      <w:r w:rsidR="000912AA">
        <w:t xml:space="preserve">analysis </w:t>
      </w:r>
      <w:r>
        <w:t xml:space="preserve">using </w:t>
      </w:r>
      <w:r w:rsidR="000912AA">
        <w:t>Perkin Elmer Optima 2100</w:t>
      </w:r>
      <w:r w:rsidR="000912AA" w:rsidRPr="000912AA">
        <w:t xml:space="preserve"> ICP-OES</w:t>
      </w:r>
      <w:r>
        <w:t xml:space="preserve"> </w:t>
      </w:r>
      <w:r w:rsidRPr="00823FA3">
        <w:t xml:space="preserve">to determine </w:t>
      </w:r>
      <w:r w:rsidR="004A652E">
        <w:t>the</w:t>
      </w:r>
      <w:r w:rsidRPr="00823FA3">
        <w:t xml:space="preserve"> Fe, Zn and Mg content.</w:t>
      </w:r>
    </w:p>
    <w:p w14:paraId="32F60847" w14:textId="77777777" w:rsidR="0020482B" w:rsidRPr="00823FA3" w:rsidRDefault="0020482B" w:rsidP="00B50382">
      <w:pPr>
        <w:spacing w:line="480" w:lineRule="auto"/>
        <w:jc w:val="both"/>
        <w:rPr>
          <w:sz w:val="23"/>
          <w:szCs w:val="23"/>
        </w:rPr>
      </w:pPr>
      <w:r>
        <w:t>2.2.4 Crude bio-oil analysis</w:t>
      </w:r>
    </w:p>
    <w:p w14:paraId="23A86928" w14:textId="7A113AA6" w:rsidR="0020482B" w:rsidRPr="00823FA3" w:rsidRDefault="0020482B" w:rsidP="00B50382">
      <w:pPr>
        <w:spacing w:line="480" w:lineRule="auto"/>
        <w:jc w:val="both"/>
      </w:pPr>
      <w:r w:rsidRPr="00823FA3">
        <w:t xml:space="preserve">To separate the remaining bio-oil and </w:t>
      </w:r>
      <w:r w:rsidR="005651AD">
        <w:t>solid residue</w:t>
      </w:r>
      <w:r w:rsidRPr="00823FA3">
        <w:t xml:space="preserve"> phase, the reactor was washed repeatedly using chloroform until the solvent was clear, the solution was filtered, and any residual bio-</w:t>
      </w:r>
      <w:r w:rsidR="00351241">
        <w:t>oil</w:t>
      </w:r>
      <w:r w:rsidRPr="00823FA3">
        <w:t xml:space="preserve"> washed off the filter paper. The solvent was evaporated using a rotary evaporator set to 40 °C.</w:t>
      </w:r>
      <w:r>
        <w:t xml:space="preserve"> To determine the energy content, a</w:t>
      </w:r>
      <w:r w:rsidRPr="00823FA3">
        <w:t>pproximately 200 mg bio-</w:t>
      </w:r>
      <w:r w:rsidR="00351241">
        <w:t>oil</w:t>
      </w:r>
      <w:r w:rsidRPr="00823FA3">
        <w:t xml:space="preserve"> was weighed into a steel crucible and analysed using an IKA C1 bomb calorimeter to determine energy content.</w:t>
      </w:r>
      <w:r>
        <w:t xml:space="preserve"> </w:t>
      </w:r>
      <w:r w:rsidRPr="00823FA3">
        <w:t>The ash content was determined by the mass difference of the crucible prior to and after energy content analysis.</w:t>
      </w:r>
      <w:r>
        <w:t xml:space="preserve"> </w:t>
      </w:r>
      <w:r w:rsidRPr="00823FA3">
        <w:t>Bio-</w:t>
      </w:r>
      <w:r w:rsidR="00351241">
        <w:t>oil</w:t>
      </w:r>
      <w:r w:rsidRPr="00823FA3">
        <w:t xml:space="preserve"> samples were analysed on a Carlo Erba Flash 2000 Elemental Analyser to determine CHN content. Elemental analyses were carried out in duplicate for each sample, and average values are reported.</w:t>
      </w:r>
    </w:p>
    <w:p w14:paraId="0ED6E373" w14:textId="77777777" w:rsidR="0020482B" w:rsidRPr="00CA4F79" w:rsidRDefault="005651AD" w:rsidP="00B50382">
      <w:pPr>
        <w:spacing w:line="480" w:lineRule="auto"/>
        <w:jc w:val="both"/>
        <w:rPr>
          <w:sz w:val="23"/>
          <w:szCs w:val="23"/>
        </w:rPr>
      </w:pPr>
      <w:r>
        <w:t>2.2.5 Solid residue</w:t>
      </w:r>
      <w:r w:rsidR="0020482B">
        <w:t xml:space="preserve"> analysis</w:t>
      </w:r>
    </w:p>
    <w:p w14:paraId="64E063EE" w14:textId="5A43E871" w:rsidR="0020482B" w:rsidRDefault="0020482B" w:rsidP="00B50382">
      <w:pPr>
        <w:spacing w:line="480" w:lineRule="auto"/>
        <w:jc w:val="both"/>
      </w:pPr>
      <w:r w:rsidRPr="00823FA3">
        <w:t xml:space="preserve">The </w:t>
      </w:r>
      <w:r w:rsidR="005651AD">
        <w:t>solid residue</w:t>
      </w:r>
      <w:r w:rsidRPr="00823FA3">
        <w:t xml:space="preserve"> yield was calculated from the mass of the retentate collected on the filter paper after drying </w:t>
      </w:r>
      <w:r w:rsidR="000912AA">
        <w:t>for 12 hours</w:t>
      </w:r>
      <w:r w:rsidRPr="00823FA3">
        <w:t xml:space="preserve"> in an oven at 60 °C. The filter paper was weighed immediately on removing from the oven, both before and after use, to minimise errors associated with absorption of atmospheric moisture.</w:t>
      </w:r>
      <w:r>
        <w:rPr>
          <w:b/>
        </w:rPr>
        <w:t xml:space="preserve"> </w:t>
      </w:r>
      <w:r w:rsidR="005651AD">
        <w:t>Solid residue</w:t>
      </w:r>
      <w:r w:rsidRPr="00823FA3">
        <w:t xml:space="preserve"> samples were </w:t>
      </w:r>
      <w:r w:rsidR="00CF6D50">
        <w:t xml:space="preserve">digested in </w:t>
      </w:r>
      <w:r w:rsidR="00CF6D50" w:rsidRPr="00E7405E">
        <w:rPr>
          <w:i/>
        </w:rPr>
        <w:t>aqua regia</w:t>
      </w:r>
      <w:r w:rsidR="00CF6D50">
        <w:t>. Briefly, 6 m</w:t>
      </w:r>
      <w:r w:rsidR="009F42EB">
        <w:t>l</w:t>
      </w:r>
      <w:r w:rsidR="00CF6D50">
        <w:t xml:space="preserve"> of HCl (37 %; Fisher Tracemetal grade) was added to approximately 1</w:t>
      </w:r>
      <w:r w:rsidR="00BB3734">
        <w:t>00</w:t>
      </w:r>
      <w:r w:rsidR="00CF6D50">
        <w:t xml:space="preserve"> </w:t>
      </w:r>
      <w:r w:rsidR="00BB3734">
        <w:t>m</w:t>
      </w:r>
      <w:r w:rsidR="00CF6D50">
        <w:t>g residue. After any ini</w:t>
      </w:r>
      <w:r w:rsidR="009F42EB">
        <w:t>tial reaction had subsided, 2 ml</w:t>
      </w:r>
      <w:r w:rsidR="00CF6D50">
        <w:t xml:space="preserve"> concentrated HNO</w:t>
      </w:r>
      <w:r w:rsidR="00CF6D50" w:rsidRPr="00E7405E">
        <w:rPr>
          <w:vertAlign w:val="subscript"/>
        </w:rPr>
        <w:t>3</w:t>
      </w:r>
      <w:r w:rsidR="00CF6D50">
        <w:t xml:space="preserve"> (Fisher Trace metal grade) was added and the digest covered and left at room temperature for 15 min. The digest was then heated to 95°C for 60 min, cooled and made up to 50 m</w:t>
      </w:r>
      <w:r w:rsidR="009F42EB">
        <w:t>l</w:t>
      </w:r>
      <w:r w:rsidR="00CF6D50">
        <w:t xml:space="preserve"> with ultra-pure water. Filtered digestates were </w:t>
      </w:r>
      <w:r w:rsidRPr="00823FA3">
        <w:t>analysed using an Agilent 7700 Series ICP-MS to determine P, Pb, Sn, Mg, Zn and Fe content.</w:t>
      </w:r>
      <w:r>
        <w:t xml:space="preserve"> </w:t>
      </w:r>
      <w:r w:rsidRPr="00823FA3">
        <w:t xml:space="preserve">SEM analysis of the </w:t>
      </w:r>
      <w:r w:rsidR="005651AD">
        <w:t>solid residue</w:t>
      </w:r>
      <w:r w:rsidRPr="00823FA3">
        <w:t xml:space="preserve"> was carried out using a JEOL JSM-6480LV </w:t>
      </w:r>
      <w:r w:rsidR="00801ECD">
        <w:t>system</w:t>
      </w:r>
      <w:r w:rsidRPr="00823FA3">
        <w:t>. Elemental composition analysis was carried out using INCA software.</w:t>
      </w:r>
      <w:r w:rsidR="005651AD">
        <w:t xml:space="preserve"> S</w:t>
      </w:r>
      <w:r w:rsidR="005651AD" w:rsidRPr="00823FA3">
        <w:t>amples were analysed on a Carlo Erba Flash 2000 Elemental Analyser to determine CHN content.</w:t>
      </w:r>
    </w:p>
    <w:p w14:paraId="4969C58D" w14:textId="77777777" w:rsidR="00697EDD" w:rsidRDefault="00697EDD" w:rsidP="00697EDD">
      <w:pPr>
        <w:spacing w:line="480" w:lineRule="auto"/>
        <w:jc w:val="both"/>
      </w:pPr>
      <w:r>
        <w:t>2.2.6 Culturing of AMD-1 and AMD-2 cultures</w:t>
      </w:r>
    </w:p>
    <w:p w14:paraId="79CC83AB" w14:textId="578FBA6C" w:rsidR="00697EDD" w:rsidRDefault="00697EDD" w:rsidP="00697EDD">
      <w:pPr>
        <w:spacing w:line="480" w:lineRule="auto"/>
        <w:jc w:val="both"/>
      </w:pPr>
      <w:r>
        <w:t xml:space="preserve">A mixed community of microalgae (predominantly </w:t>
      </w:r>
      <w:r w:rsidRPr="00E7405E">
        <w:rPr>
          <w:i/>
        </w:rPr>
        <w:t>Euglena</w:t>
      </w:r>
      <w:r>
        <w:t xml:space="preserve">- and </w:t>
      </w:r>
      <w:r w:rsidRPr="00E7405E">
        <w:rPr>
          <w:i/>
        </w:rPr>
        <w:t>Chlamydomonas</w:t>
      </w:r>
      <w:r w:rsidR="009F42EB">
        <w:t>-like morphologies</w:t>
      </w:r>
      <w:r>
        <w:t xml:space="preserve">) isolated from the mine drainage of a former tin mine in the UK were </w:t>
      </w:r>
      <w:r w:rsidR="00181CBD">
        <w:t xml:space="preserve">grown in </w:t>
      </w:r>
      <w:r>
        <w:t>AMD supplemented with nitrates and phosphates</w:t>
      </w:r>
      <w:r w:rsidR="0070105A">
        <w:t xml:space="preserve"> (see supporting information)</w:t>
      </w:r>
      <w:r>
        <w:t>. Following scale up in conical flasks (3 l), the biomass for HTL was generated in a bubble column with artificial illumination. Bubble columns were constructed using PVC components; 110 mm clear polycarbonate tubing, with a working culture volume of 10 l. Light was supplied via 36 W Grolux fluorescent tube and 36W 865 daylight fluorescent tube providing 80 µmol photons m</w:t>
      </w:r>
      <w:r w:rsidRPr="001146BD">
        <w:rPr>
          <w:vertAlign w:val="superscript"/>
        </w:rPr>
        <w:t>-2</w:t>
      </w:r>
      <w:r>
        <w:t>s</w:t>
      </w:r>
      <w:r w:rsidRPr="001146BD">
        <w:rPr>
          <w:vertAlign w:val="superscript"/>
        </w:rPr>
        <w:t>-1</w:t>
      </w:r>
      <w:r>
        <w:t>. Cultures were aerated by constant bubbling at 3 l min</w:t>
      </w:r>
      <w:r w:rsidRPr="001146BD">
        <w:rPr>
          <w:vertAlign w:val="superscript"/>
        </w:rPr>
        <w:t>-1</w:t>
      </w:r>
      <w:r>
        <w:t xml:space="preserve">. Cultures were grown at 20 </w:t>
      </w:r>
      <w:r w:rsidRPr="001146BD">
        <w:t>°</w:t>
      </w:r>
      <w:r>
        <w:t xml:space="preserve">C in cycles of 16 h of light: 8 h dark photoperiods (16:8h). </w:t>
      </w:r>
    </w:p>
    <w:p w14:paraId="35E421F8" w14:textId="0311D37F" w:rsidR="00697EDD" w:rsidRDefault="00697EDD" w:rsidP="00697EDD">
      <w:pPr>
        <w:spacing w:line="480" w:lineRule="auto"/>
        <w:jc w:val="both"/>
      </w:pPr>
      <w:r>
        <w:t>The AMD</w:t>
      </w:r>
      <w:r w:rsidR="00181CBD">
        <w:t>-</w:t>
      </w:r>
      <w:r>
        <w:t>1 culture was grown on a synthetic acid mine drainage medi</w:t>
      </w:r>
      <w:r w:rsidR="00181CBD">
        <w:t>um</w:t>
      </w:r>
      <w:r>
        <w:t xml:space="preserve"> </w:t>
      </w:r>
      <w:r w:rsidR="00B559F9">
        <w:t xml:space="preserve">(sAMD) </w:t>
      </w:r>
      <w:r>
        <w:t>supplemented with both phosphate and nitrate salts (</w:t>
      </w:r>
      <w:r w:rsidR="00B559F9">
        <w:t xml:space="preserve">a </w:t>
      </w:r>
      <w:r>
        <w:t>full description is given in the supporting information). The AMD</w:t>
      </w:r>
      <w:r w:rsidR="00181CBD">
        <w:t>-</w:t>
      </w:r>
      <w:r>
        <w:t xml:space="preserve">2 culture was grown on </w:t>
      </w:r>
      <w:r w:rsidR="00B559F9">
        <w:t xml:space="preserve">AMD </w:t>
      </w:r>
      <w:r>
        <w:t>supplemented with phosphate and nitrate salts</w:t>
      </w:r>
      <w:r w:rsidR="004B5C3D">
        <w:t xml:space="preserve"> (see supporting information)</w:t>
      </w:r>
      <w:r>
        <w:t>. Cell counts were conducted via flow cytometry daily and stationary growth phase biomass was harvested by centrifugation.</w:t>
      </w:r>
    </w:p>
    <w:p w14:paraId="0BF801D6" w14:textId="25E3C7E0" w:rsidR="00697EDD" w:rsidRDefault="00697EDD" w:rsidP="00697EDD">
      <w:pPr>
        <w:spacing w:line="480" w:lineRule="auto"/>
        <w:jc w:val="both"/>
      </w:pPr>
      <w:r>
        <w:t xml:space="preserve">2.2.7 Culturing the </w:t>
      </w:r>
      <w:r w:rsidR="00B559F9">
        <w:t>AMD</w:t>
      </w:r>
      <w:r w:rsidR="004B5C3D">
        <w:t>-</w:t>
      </w:r>
      <w:r w:rsidR="00B559F9">
        <w:t xml:space="preserve">1 algae </w:t>
      </w:r>
      <w:r>
        <w:t xml:space="preserve">with HTL aqueous phase </w:t>
      </w:r>
    </w:p>
    <w:p w14:paraId="2BB5EE25" w14:textId="6C7FBD94" w:rsidR="009F42EB" w:rsidRPr="002E14CB" w:rsidRDefault="009F42EB" w:rsidP="009F42EB">
      <w:pPr>
        <w:spacing w:line="480" w:lineRule="auto"/>
        <w:jc w:val="both"/>
        <w:rPr>
          <w:color w:val="000000"/>
        </w:rPr>
      </w:pPr>
      <w:r w:rsidRPr="00B10069">
        <w:rPr>
          <w:color w:val="000000"/>
        </w:rPr>
        <w:t xml:space="preserve">The </w:t>
      </w:r>
      <w:r>
        <w:rPr>
          <w:color w:val="000000"/>
        </w:rPr>
        <w:t>photobioreactors were held</w:t>
      </w:r>
      <w:r w:rsidRPr="00B10069">
        <w:rPr>
          <w:color w:val="000000"/>
        </w:rPr>
        <w:t xml:space="preserve"> at room temperature, </w:t>
      </w:r>
      <w:r>
        <w:rPr>
          <w:color w:val="000000"/>
        </w:rPr>
        <w:t>which fluctuated between 16</w:t>
      </w:r>
      <w:r w:rsidR="00BB3734">
        <w:rPr>
          <w:color w:val="000000"/>
        </w:rPr>
        <w:t xml:space="preserve"> </w:t>
      </w:r>
      <w:r>
        <w:rPr>
          <w:color w:val="000000"/>
        </w:rPr>
        <w:t>⁰C to</w:t>
      </w:r>
      <w:r w:rsidRPr="00B10069">
        <w:rPr>
          <w:color w:val="000000"/>
        </w:rPr>
        <w:t xml:space="preserve"> 22</w:t>
      </w:r>
      <w:r>
        <w:rPr>
          <w:color w:val="000000"/>
        </w:rPr>
        <w:t xml:space="preserve"> </w:t>
      </w:r>
      <w:r w:rsidRPr="00B10069">
        <w:rPr>
          <w:color w:val="000000"/>
        </w:rPr>
        <w:t>⁰C</w:t>
      </w:r>
      <w:r>
        <w:rPr>
          <w:color w:val="000000"/>
        </w:rPr>
        <w:t>,</w:t>
      </w:r>
      <w:r w:rsidRPr="00B10069">
        <w:rPr>
          <w:color w:val="000000"/>
        </w:rPr>
        <w:t xml:space="preserve"> </w:t>
      </w:r>
      <w:r>
        <w:rPr>
          <w:color w:val="000000"/>
        </w:rPr>
        <w:t xml:space="preserve">under </w:t>
      </w:r>
      <w:r w:rsidRPr="00B10069">
        <w:rPr>
          <w:color w:val="000000"/>
        </w:rPr>
        <w:t>full aeration</w:t>
      </w:r>
      <w:r>
        <w:rPr>
          <w:color w:val="000000"/>
        </w:rPr>
        <w:t xml:space="preserve"> and</w:t>
      </w:r>
      <w:r w:rsidRPr="00B10069">
        <w:rPr>
          <w:color w:val="000000"/>
        </w:rPr>
        <w:t xml:space="preserve"> were inoculated with 1</w:t>
      </w:r>
      <w:r>
        <w:rPr>
          <w:color w:val="000000"/>
        </w:rPr>
        <w:t xml:space="preserve"> l </w:t>
      </w:r>
      <w:r w:rsidRPr="00B10069">
        <w:rPr>
          <w:color w:val="000000"/>
        </w:rPr>
        <w:t xml:space="preserve">of the AMD algae cultured in a </w:t>
      </w:r>
      <w:r>
        <w:rPr>
          <w:color w:val="000000"/>
        </w:rPr>
        <w:t>sAMD medium</w:t>
      </w:r>
      <w:r w:rsidRPr="00B10069">
        <w:rPr>
          <w:color w:val="000000"/>
        </w:rPr>
        <w:t xml:space="preserve"> (see supporting information)</w:t>
      </w:r>
      <w:r>
        <w:rPr>
          <w:color w:val="000000"/>
        </w:rPr>
        <w:t>, with no additional nitrates or phosphates</w:t>
      </w:r>
      <w:r w:rsidRPr="00B10069">
        <w:rPr>
          <w:color w:val="000000"/>
        </w:rPr>
        <w:t xml:space="preserve"> </w:t>
      </w:r>
      <w:r>
        <w:rPr>
          <w:color w:val="000000"/>
        </w:rPr>
        <w:t xml:space="preserve">but </w:t>
      </w:r>
      <w:r w:rsidRPr="00B10069">
        <w:rPr>
          <w:color w:val="000000"/>
        </w:rPr>
        <w:t xml:space="preserve">with the addition of the aqueous phase from the </w:t>
      </w:r>
      <w:r>
        <w:rPr>
          <w:color w:val="000000"/>
        </w:rPr>
        <w:t xml:space="preserve">hydrothermal processing </w:t>
      </w:r>
      <w:r w:rsidRPr="00B10069">
        <w:rPr>
          <w:color w:val="000000"/>
        </w:rPr>
        <w:t xml:space="preserve">of </w:t>
      </w:r>
      <w:r>
        <w:rPr>
          <w:color w:val="000000"/>
        </w:rPr>
        <w:t xml:space="preserve">Spirulina at 350 °C, </w:t>
      </w:r>
      <w:r w:rsidRPr="00B10069">
        <w:rPr>
          <w:color w:val="000000"/>
        </w:rPr>
        <w:t xml:space="preserve">(diluted 1:100 v/v with deionised water). The starting inoculum was ~ </w:t>
      </w:r>
      <w:r>
        <w:rPr>
          <w:color w:val="000000"/>
        </w:rPr>
        <w:t>10</w:t>
      </w:r>
      <w:r w:rsidRPr="004858E3">
        <w:rPr>
          <w:color w:val="000000"/>
          <w:vertAlign w:val="superscript"/>
        </w:rPr>
        <w:t>5</w:t>
      </w:r>
      <w:r w:rsidR="00BB3734">
        <w:rPr>
          <w:color w:val="000000"/>
        </w:rPr>
        <w:t xml:space="preserve"> cells </w:t>
      </w:r>
      <w:r w:rsidRPr="00B10069">
        <w:rPr>
          <w:color w:val="000000"/>
        </w:rPr>
        <w:t>ml</w:t>
      </w:r>
      <w:r w:rsidR="00BB3734" w:rsidRPr="00BB3734">
        <w:rPr>
          <w:color w:val="000000"/>
          <w:vertAlign w:val="superscript"/>
        </w:rPr>
        <w:t>-1</w:t>
      </w:r>
      <w:r w:rsidRPr="00B10069">
        <w:rPr>
          <w:color w:val="000000"/>
        </w:rPr>
        <w:t xml:space="preserve">.  </w:t>
      </w:r>
    </w:p>
    <w:p w14:paraId="6EEE2483" w14:textId="77777777" w:rsidR="00E7405E" w:rsidRDefault="00E7405E" w:rsidP="00E7405E">
      <w:pPr>
        <w:spacing w:line="480" w:lineRule="auto"/>
        <w:jc w:val="both"/>
        <w:rPr>
          <w:rStyle w:val="CommentReference"/>
        </w:rPr>
      </w:pPr>
    </w:p>
    <w:p w14:paraId="5D632941" w14:textId="77777777" w:rsidR="00EC2307" w:rsidRDefault="00EC2307" w:rsidP="00E7405E">
      <w:pPr>
        <w:spacing w:line="480" w:lineRule="auto"/>
        <w:jc w:val="both"/>
        <w:rPr>
          <w:rStyle w:val="CommentReference"/>
        </w:rPr>
      </w:pPr>
    </w:p>
    <w:p w14:paraId="40328478" w14:textId="77777777" w:rsidR="00EC2307" w:rsidRDefault="00EC2307" w:rsidP="00E7405E">
      <w:pPr>
        <w:spacing w:line="480" w:lineRule="auto"/>
        <w:jc w:val="both"/>
        <w:rPr>
          <w:rStyle w:val="CommentReference"/>
        </w:rPr>
      </w:pPr>
    </w:p>
    <w:p w14:paraId="6D10D1F9" w14:textId="77777777" w:rsidR="00EC2307" w:rsidRDefault="00EC2307" w:rsidP="00E7405E">
      <w:pPr>
        <w:spacing w:line="480" w:lineRule="auto"/>
        <w:jc w:val="both"/>
        <w:rPr>
          <w:rStyle w:val="CommentReference"/>
        </w:rPr>
      </w:pPr>
    </w:p>
    <w:p w14:paraId="39542A41" w14:textId="77777777" w:rsidR="00EC2307" w:rsidRDefault="00EC2307" w:rsidP="00E7405E">
      <w:pPr>
        <w:spacing w:line="480" w:lineRule="auto"/>
        <w:jc w:val="both"/>
        <w:rPr>
          <w:rStyle w:val="CommentReference"/>
        </w:rPr>
      </w:pPr>
    </w:p>
    <w:p w14:paraId="40FBAD8D" w14:textId="77777777" w:rsidR="00E7405E" w:rsidRDefault="00E7405E" w:rsidP="00E7405E">
      <w:pPr>
        <w:spacing w:line="480" w:lineRule="auto"/>
        <w:jc w:val="both"/>
        <w:rPr>
          <w:rStyle w:val="CommentReference"/>
        </w:rPr>
      </w:pPr>
    </w:p>
    <w:p w14:paraId="77D1DC53" w14:textId="59F6DFA2" w:rsidR="0020482B" w:rsidRDefault="0020482B" w:rsidP="00E7405E">
      <w:pPr>
        <w:spacing w:line="480" w:lineRule="auto"/>
        <w:jc w:val="both"/>
        <w:rPr>
          <w:b/>
          <w:sz w:val="28"/>
        </w:rPr>
      </w:pPr>
      <w:r w:rsidRPr="0026765D">
        <w:rPr>
          <w:b/>
          <w:sz w:val="28"/>
        </w:rPr>
        <w:t xml:space="preserve">3. Results and discussion </w:t>
      </w:r>
    </w:p>
    <w:p w14:paraId="48FE4115" w14:textId="77777777" w:rsidR="005017ED" w:rsidRPr="005017ED" w:rsidRDefault="005017ED" w:rsidP="00B50382">
      <w:pPr>
        <w:spacing w:line="480" w:lineRule="auto"/>
        <w:rPr>
          <w:b/>
        </w:rPr>
      </w:pPr>
      <w:r w:rsidRPr="005017ED">
        <w:rPr>
          <w:b/>
        </w:rPr>
        <w:t>3.1 HTL of Spirulina and metal sulfates</w:t>
      </w:r>
    </w:p>
    <w:p w14:paraId="2E3B80F2" w14:textId="7CE3555A" w:rsidR="00E7405E" w:rsidRDefault="0020482B" w:rsidP="00D614C4">
      <w:pPr>
        <w:spacing w:line="480" w:lineRule="auto"/>
      </w:pPr>
      <w:r>
        <w:t xml:space="preserve">Initially, the effect of </w:t>
      </w:r>
      <w:r w:rsidR="005651AD">
        <w:t>additional metals present with the algal biomass</w:t>
      </w:r>
      <w:r>
        <w:t xml:space="preserve"> on the HTL </w:t>
      </w:r>
      <w:r w:rsidR="005651AD">
        <w:t xml:space="preserve">process </w:t>
      </w:r>
      <w:r>
        <w:t>was examined using the</w:t>
      </w:r>
      <w:r w:rsidRPr="00823FA3">
        <w:t xml:space="preserve"> </w:t>
      </w:r>
      <w:r w:rsidR="00952019">
        <w:t xml:space="preserve">commercially </w:t>
      </w:r>
      <w:r w:rsidR="00C62E3E">
        <w:t>available cyanobacterium</w:t>
      </w:r>
      <w:r w:rsidRPr="00823FA3">
        <w:t xml:space="preserve"> </w:t>
      </w:r>
      <w:r w:rsidRPr="00952019">
        <w:t>Spirulina</w:t>
      </w:r>
      <w:r w:rsidRPr="00823FA3">
        <w:t xml:space="preserve"> </w:t>
      </w:r>
      <w:r w:rsidR="00C62E3E">
        <w:t>(</w:t>
      </w:r>
      <w:r w:rsidR="00C62E3E" w:rsidRPr="0046178F">
        <w:rPr>
          <w:i/>
        </w:rPr>
        <w:t>Arthrospira platensis</w:t>
      </w:r>
      <w:r w:rsidR="00C62E3E">
        <w:t xml:space="preserve">) </w:t>
      </w:r>
      <w:r w:rsidRPr="00823FA3">
        <w:t xml:space="preserve">with the addition of a range of metal sulfates </w:t>
      </w:r>
      <w:r w:rsidR="00211DDF">
        <w:t>under</w:t>
      </w:r>
      <w:r w:rsidRPr="00823FA3">
        <w:t xml:space="preserve"> batch HTL </w:t>
      </w:r>
      <w:r w:rsidR="00211DDF">
        <w:t>process conditions</w:t>
      </w:r>
      <w:r w:rsidRPr="00823FA3">
        <w:t>. The metal conc</w:t>
      </w:r>
      <w:r>
        <w:t xml:space="preserve">entrations used </w:t>
      </w:r>
      <w:r w:rsidR="00211DDF">
        <w:t>(described in Table 1)</w:t>
      </w:r>
      <w:r w:rsidR="00DA214D">
        <w:t xml:space="preserve"> </w:t>
      </w:r>
      <w:r>
        <w:t>were</w:t>
      </w:r>
      <w:r w:rsidRPr="00823FA3">
        <w:t xml:space="preserve"> based on data collected </w:t>
      </w:r>
      <w:r w:rsidR="00792EFB">
        <w:t>from AMD from a</w:t>
      </w:r>
      <w:r>
        <w:t xml:space="preserve"> </w:t>
      </w:r>
      <w:r w:rsidR="00544F23">
        <w:t xml:space="preserve">former </w:t>
      </w:r>
      <w:r w:rsidR="00792EFB">
        <w:t>t</w:t>
      </w:r>
      <w:r w:rsidR="00544F23">
        <w:t xml:space="preserve">in </w:t>
      </w:r>
      <w:r w:rsidR="00211DDF">
        <w:t xml:space="preserve">mine </w:t>
      </w:r>
      <w:r w:rsidRPr="00823FA3">
        <w:t xml:space="preserve">between January and March 2014. </w:t>
      </w:r>
      <w:r>
        <w:t xml:space="preserve">The main metal contaminants found </w:t>
      </w:r>
      <w:r w:rsidR="00792EFB">
        <w:t>in this mine water</w:t>
      </w:r>
      <w:r>
        <w:t xml:space="preserve"> were Fe, Zn and Mg, with lower amounts of Sn and Pb also being present. To examine the effect of the metals on the HTL process, the five separate metal sulfates were added to the </w:t>
      </w:r>
      <w:r w:rsidR="00952019">
        <w:t>S</w:t>
      </w:r>
      <w:r>
        <w:t xml:space="preserve">pirulina biomass at </w:t>
      </w:r>
      <w:r w:rsidR="00792EFB">
        <w:t>concentrations</w:t>
      </w:r>
      <w:r>
        <w:t xml:space="preserve"> found in the </w:t>
      </w:r>
      <w:r w:rsidR="00952019">
        <w:t>AMD</w:t>
      </w:r>
      <w:r>
        <w:t xml:space="preserve">. Two </w:t>
      </w:r>
      <w:r w:rsidR="00211DDF">
        <w:t xml:space="preserve">distinct </w:t>
      </w:r>
      <w:r>
        <w:t xml:space="preserve">scenarios were investigated, </w:t>
      </w:r>
      <w:r w:rsidR="007761BA">
        <w:t xml:space="preserve">the first </w:t>
      </w:r>
      <w:r>
        <w:t>with the main metals Fe, Zn and Mg being present at a low concentration</w:t>
      </w:r>
      <w:r w:rsidR="007A4807">
        <w:t xml:space="preserve"> </w:t>
      </w:r>
      <w:r w:rsidR="00211DDF">
        <w:t>in order</w:t>
      </w:r>
      <w:r w:rsidR="005651AD">
        <w:t xml:space="preserve"> to assess the effect of a minimum uptake scenario, where the algae </w:t>
      </w:r>
      <w:r w:rsidR="007F4DFF">
        <w:t xml:space="preserve">display minimal adsorption of </w:t>
      </w:r>
      <w:r w:rsidR="00351241">
        <w:t xml:space="preserve">the metals present </w:t>
      </w:r>
      <w:r w:rsidR="007761BA">
        <w:t>in dilute AMD streams. In the second scenario the</w:t>
      </w:r>
      <w:r w:rsidR="009F42EB">
        <w:t xml:space="preserve"> concentration of metals was</w:t>
      </w:r>
      <w:r w:rsidR="007761BA">
        <w:t xml:space="preserve"> high</w:t>
      </w:r>
      <w:r w:rsidR="007F4DFF">
        <w:t xml:space="preserve">er, </w:t>
      </w:r>
      <w:r w:rsidR="007761BA">
        <w:t xml:space="preserve">mimicking a situation where the algae had successfully been used to remediate </w:t>
      </w:r>
      <w:r w:rsidR="007F4DFF">
        <w:t xml:space="preserve">concentrated </w:t>
      </w:r>
      <w:r w:rsidR="007761BA">
        <w:t>AMD metal effluent stream</w:t>
      </w:r>
      <w:r w:rsidR="007F4DFF">
        <w:t>s</w:t>
      </w:r>
      <w:r w:rsidR="007761BA">
        <w:t xml:space="preserve"> </w:t>
      </w:r>
      <w:r>
        <w:t>(high uptake scenario).</w:t>
      </w:r>
      <w:r w:rsidRPr="00823FA3">
        <w:t xml:space="preserve"> </w:t>
      </w:r>
    </w:p>
    <w:p w14:paraId="123DCCB9" w14:textId="77777777" w:rsidR="00E7405E" w:rsidRDefault="00E7405E" w:rsidP="00D614C4">
      <w:pPr>
        <w:spacing w:line="480" w:lineRule="auto"/>
        <w:rPr>
          <w:i/>
          <w:sz w:val="20"/>
        </w:rPr>
      </w:pPr>
    </w:p>
    <w:p w14:paraId="67E38828" w14:textId="77777777" w:rsidR="00E7405E" w:rsidRDefault="00E7405E" w:rsidP="00D614C4">
      <w:pPr>
        <w:spacing w:line="480" w:lineRule="auto"/>
        <w:rPr>
          <w:i/>
          <w:sz w:val="20"/>
        </w:rPr>
      </w:pPr>
    </w:p>
    <w:p w14:paraId="1EEB5427" w14:textId="77777777" w:rsidR="00E7405E" w:rsidRDefault="00E7405E" w:rsidP="00D614C4">
      <w:pPr>
        <w:spacing w:line="480" w:lineRule="auto"/>
        <w:rPr>
          <w:i/>
          <w:sz w:val="20"/>
        </w:rPr>
      </w:pPr>
    </w:p>
    <w:p w14:paraId="45082C0B" w14:textId="77777777" w:rsidR="00E7405E" w:rsidRDefault="00E7405E" w:rsidP="00D614C4">
      <w:pPr>
        <w:spacing w:line="480" w:lineRule="auto"/>
        <w:rPr>
          <w:i/>
          <w:sz w:val="20"/>
        </w:rPr>
      </w:pPr>
    </w:p>
    <w:p w14:paraId="658E6D99" w14:textId="77777777" w:rsidR="00E7405E" w:rsidRDefault="00E7405E" w:rsidP="00D614C4">
      <w:pPr>
        <w:spacing w:line="480" w:lineRule="auto"/>
        <w:rPr>
          <w:i/>
          <w:sz w:val="20"/>
        </w:rPr>
      </w:pPr>
    </w:p>
    <w:p w14:paraId="240F6AFD" w14:textId="77777777" w:rsidR="00E7405E" w:rsidRDefault="00E7405E" w:rsidP="00D614C4">
      <w:pPr>
        <w:spacing w:line="480" w:lineRule="auto"/>
        <w:rPr>
          <w:i/>
          <w:sz w:val="20"/>
        </w:rPr>
      </w:pPr>
    </w:p>
    <w:p w14:paraId="384E5B33" w14:textId="77777777" w:rsidR="009F42EB" w:rsidRDefault="009F42EB" w:rsidP="00D614C4">
      <w:pPr>
        <w:spacing w:line="480" w:lineRule="auto"/>
        <w:rPr>
          <w:i/>
          <w:sz w:val="20"/>
        </w:rPr>
      </w:pPr>
    </w:p>
    <w:p w14:paraId="310D96F5" w14:textId="77777777" w:rsidR="009F42EB" w:rsidRDefault="009F42EB" w:rsidP="00D614C4">
      <w:pPr>
        <w:spacing w:line="480" w:lineRule="auto"/>
        <w:rPr>
          <w:i/>
          <w:sz w:val="20"/>
        </w:rPr>
      </w:pPr>
    </w:p>
    <w:p w14:paraId="1C118177" w14:textId="7B98D803" w:rsidR="007761BA" w:rsidRPr="005017ED" w:rsidRDefault="007761BA" w:rsidP="00D614C4">
      <w:pPr>
        <w:spacing w:line="480" w:lineRule="auto"/>
        <w:rPr>
          <w:i/>
          <w:sz w:val="20"/>
        </w:rPr>
      </w:pPr>
      <w:r w:rsidRPr="005017ED">
        <w:rPr>
          <w:i/>
          <w:sz w:val="20"/>
        </w:rPr>
        <w:t xml:space="preserve">Table 1 </w:t>
      </w:r>
      <w:r>
        <w:rPr>
          <w:i/>
          <w:sz w:val="20"/>
        </w:rPr>
        <w:t xml:space="preserve">The </w:t>
      </w:r>
      <w:r w:rsidRPr="005017ED">
        <w:rPr>
          <w:i/>
          <w:sz w:val="20"/>
        </w:rPr>
        <w:t>metal salts used in conjunction with Spirulina to mimic metal contaminated algae used in remediation</w:t>
      </w:r>
      <w:r w:rsidR="00351241">
        <w:rPr>
          <w:i/>
          <w:sz w:val="20"/>
        </w:rPr>
        <w:t xml:space="preserve"> of AMD</w:t>
      </w:r>
      <w:r>
        <w:rPr>
          <w:i/>
          <w:sz w:val="20"/>
        </w:rPr>
        <w:t>. The</w:t>
      </w:r>
      <w:r w:rsidR="00351241">
        <w:rPr>
          <w:i/>
          <w:sz w:val="20"/>
        </w:rPr>
        <w:t xml:space="preserve"> low uptake scenario mimics a situation where there is poor metal uptake from the AMD, the high uptake scenario mimics the best case, where all the metal present in the AMD has been absorbed</w:t>
      </w:r>
    </w:p>
    <w:tbl>
      <w:tblPr>
        <w:tblStyle w:val="TableGrid"/>
        <w:tblW w:w="0" w:type="auto"/>
        <w:jc w:val="center"/>
        <w:tblLook w:val="04A0" w:firstRow="1" w:lastRow="0" w:firstColumn="1" w:lastColumn="0" w:noHBand="0" w:noVBand="1"/>
      </w:tblPr>
      <w:tblGrid>
        <w:gridCol w:w="1274"/>
        <w:gridCol w:w="3331"/>
        <w:gridCol w:w="2908"/>
      </w:tblGrid>
      <w:tr w:rsidR="0020482B" w:rsidRPr="006D2100" w14:paraId="5698B604" w14:textId="77777777" w:rsidTr="00C62E3E">
        <w:trPr>
          <w:trHeight w:val="95"/>
          <w:jc w:val="center"/>
        </w:trPr>
        <w:tc>
          <w:tcPr>
            <w:tcW w:w="1274" w:type="dxa"/>
          </w:tcPr>
          <w:p w14:paraId="66A067E1" w14:textId="01665C53" w:rsidR="0020482B" w:rsidRPr="006D2100" w:rsidRDefault="0020482B" w:rsidP="00815FFE">
            <w:pPr>
              <w:pStyle w:val="Caption"/>
              <w:spacing w:after="0" w:line="360" w:lineRule="auto"/>
              <w:jc w:val="both"/>
              <w:rPr>
                <w:color w:val="000000" w:themeColor="text1"/>
                <w:szCs w:val="22"/>
              </w:rPr>
            </w:pPr>
            <w:r w:rsidRPr="006D2100">
              <w:rPr>
                <w:color w:val="000000" w:themeColor="text1"/>
              </w:rPr>
              <w:br w:type="page"/>
              <w:t xml:space="preserve">Metal </w:t>
            </w:r>
            <w:r w:rsidR="004B5C3D">
              <w:rPr>
                <w:color w:val="000000" w:themeColor="text1"/>
              </w:rPr>
              <w:t>/ Scenario</w:t>
            </w:r>
          </w:p>
        </w:tc>
        <w:tc>
          <w:tcPr>
            <w:tcW w:w="3331" w:type="dxa"/>
          </w:tcPr>
          <w:p w14:paraId="32BDFEAD" w14:textId="67DAAA73" w:rsidR="0020482B" w:rsidRPr="006D2100" w:rsidRDefault="0020482B" w:rsidP="00E7405E">
            <w:pPr>
              <w:pStyle w:val="Caption"/>
              <w:spacing w:after="0" w:line="360" w:lineRule="auto"/>
              <w:jc w:val="center"/>
              <w:rPr>
                <w:color w:val="000000" w:themeColor="text1"/>
                <w:szCs w:val="22"/>
              </w:rPr>
            </w:pPr>
            <w:r>
              <w:rPr>
                <w:color w:val="000000" w:themeColor="text1"/>
                <w:szCs w:val="22"/>
              </w:rPr>
              <w:t xml:space="preserve">Representative </w:t>
            </w:r>
            <w:r w:rsidR="004B5C3D">
              <w:rPr>
                <w:color w:val="000000" w:themeColor="text1"/>
                <w:szCs w:val="22"/>
              </w:rPr>
              <w:t>salt(s)</w:t>
            </w:r>
          </w:p>
        </w:tc>
        <w:tc>
          <w:tcPr>
            <w:tcW w:w="2908" w:type="dxa"/>
          </w:tcPr>
          <w:p w14:paraId="3DE007D1" w14:textId="77777777" w:rsidR="0020482B" w:rsidRPr="006D2100" w:rsidRDefault="0020482B" w:rsidP="00815FFE">
            <w:pPr>
              <w:pStyle w:val="Caption"/>
              <w:spacing w:after="0" w:line="360" w:lineRule="auto"/>
              <w:jc w:val="center"/>
              <w:rPr>
                <w:color w:val="000000" w:themeColor="text1"/>
                <w:szCs w:val="22"/>
              </w:rPr>
            </w:pPr>
            <w:r w:rsidRPr="006D2100">
              <w:rPr>
                <w:color w:val="000000" w:themeColor="text1"/>
                <w:szCs w:val="22"/>
              </w:rPr>
              <w:t>Metal concentration</w:t>
            </w:r>
            <w:r w:rsidR="007761BA">
              <w:rPr>
                <w:color w:val="000000" w:themeColor="text1"/>
                <w:szCs w:val="22"/>
              </w:rPr>
              <w:t xml:space="preserve"> in the reactor</w:t>
            </w:r>
            <w:r w:rsidRPr="006D2100">
              <w:rPr>
                <w:color w:val="000000" w:themeColor="text1"/>
                <w:szCs w:val="22"/>
              </w:rPr>
              <w:t xml:space="preserve"> / mg L</w:t>
            </w:r>
            <w:r w:rsidRPr="006D2100">
              <w:rPr>
                <w:color w:val="000000" w:themeColor="text1"/>
                <w:szCs w:val="22"/>
                <w:vertAlign w:val="superscript"/>
              </w:rPr>
              <w:t>-1</w:t>
            </w:r>
          </w:p>
        </w:tc>
      </w:tr>
      <w:tr w:rsidR="0020482B" w:rsidRPr="006D2100" w14:paraId="1CC1F72D" w14:textId="77777777" w:rsidTr="00C62E3E">
        <w:trPr>
          <w:jc w:val="center"/>
        </w:trPr>
        <w:tc>
          <w:tcPr>
            <w:tcW w:w="1274" w:type="dxa"/>
          </w:tcPr>
          <w:p w14:paraId="3B8B902B" w14:textId="77777777" w:rsidR="0020482B" w:rsidRPr="006D2100" w:rsidRDefault="0020482B" w:rsidP="00815FFE">
            <w:pPr>
              <w:pStyle w:val="Caption"/>
              <w:spacing w:after="0" w:line="360" w:lineRule="auto"/>
              <w:jc w:val="both"/>
              <w:rPr>
                <w:color w:val="000000" w:themeColor="text1"/>
                <w:szCs w:val="22"/>
              </w:rPr>
            </w:pPr>
            <w:r w:rsidRPr="006D2100">
              <w:rPr>
                <w:color w:val="000000" w:themeColor="text1"/>
                <w:szCs w:val="22"/>
              </w:rPr>
              <w:t>Pb</w:t>
            </w:r>
          </w:p>
        </w:tc>
        <w:tc>
          <w:tcPr>
            <w:tcW w:w="3331" w:type="dxa"/>
          </w:tcPr>
          <w:p w14:paraId="74269DDB"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PbSO</w:t>
            </w:r>
            <w:r w:rsidRPr="007761BA">
              <w:rPr>
                <w:b w:val="0"/>
                <w:color w:val="000000" w:themeColor="text1"/>
                <w:szCs w:val="22"/>
                <w:vertAlign w:val="subscript"/>
              </w:rPr>
              <w:t>4</w:t>
            </w:r>
          </w:p>
        </w:tc>
        <w:tc>
          <w:tcPr>
            <w:tcW w:w="2908" w:type="dxa"/>
          </w:tcPr>
          <w:p w14:paraId="0882CB68"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10</w:t>
            </w:r>
          </w:p>
        </w:tc>
      </w:tr>
      <w:tr w:rsidR="0020482B" w:rsidRPr="006D2100" w14:paraId="1E0FCA74" w14:textId="77777777" w:rsidTr="00C62E3E">
        <w:trPr>
          <w:jc w:val="center"/>
        </w:trPr>
        <w:tc>
          <w:tcPr>
            <w:tcW w:w="1274" w:type="dxa"/>
          </w:tcPr>
          <w:p w14:paraId="58343B22" w14:textId="77777777" w:rsidR="0020482B" w:rsidRPr="006D2100" w:rsidRDefault="0020482B" w:rsidP="00815FFE">
            <w:pPr>
              <w:pStyle w:val="Caption"/>
              <w:spacing w:after="0" w:line="360" w:lineRule="auto"/>
              <w:jc w:val="both"/>
              <w:rPr>
                <w:color w:val="000000" w:themeColor="text1"/>
                <w:szCs w:val="22"/>
              </w:rPr>
            </w:pPr>
            <w:r w:rsidRPr="006D2100">
              <w:rPr>
                <w:color w:val="000000" w:themeColor="text1"/>
                <w:szCs w:val="22"/>
              </w:rPr>
              <w:t>Sn</w:t>
            </w:r>
          </w:p>
        </w:tc>
        <w:tc>
          <w:tcPr>
            <w:tcW w:w="3331" w:type="dxa"/>
          </w:tcPr>
          <w:p w14:paraId="66CD739F"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SnSO</w:t>
            </w:r>
            <w:r w:rsidRPr="007761BA">
              <w:rPr>
                <w:b w:val="0"/>
                <w:color w:val="000000" w:themeColor="text1"/>
                <w:szCs w:val="22"/>
                <w:vertAlign w:val="subscript"/>
              </w:rPr>
              <w:t>4</w:t>
            </w:r>
          </w:p>
        </w:tc>
        <w:tc>
          <w:tcPr>
            <w:tcW w:w="2908" w:type="dxa"/>
          </w:tcPr>
          <w:p w14:paraId="72D986A8"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210</w:t>
            </w:r>
          </w:p>
        </w:tc>
      </w:tr>
      <w:tr w:rsidR="0020482B" w:rsidRPr="006D2100" w14:paraId="42F847E1" w14:textId="77777777" w:rsidTr="00C62E3E">
        <w:trPr>
          <w:trHeight w:val="167"/>
          <w:jc w:val="center"/>
        </w:trPr>
        <w:tc>
          <w:tcPr>
            <w:tcW w:w="1274" w:type="dxa"/>
            <w:vMerge w:val="restart"/>
          </w:tcPr>
          <w:p w14:paraId="5ED67B83" w14:textId="77777777" w:rsidR="0020482B" w:rsidRPr="006D2100" w:rsidRDefault="0020482B" w:rsidP="00815FFE">
            <w:pPr>
              <w:pStyle w:val="Caption"/>
              <w:spacing w:after="0" w:line="360" w:lineRule="auto"/>
              <w:jc w:val="both"/>
              <w:rPr>
                <w:color w:val="000000" w:themeColor="text1"/>
                <w:szCs w:val="22"/>
              </w:rPr>
            </w:pPr>
            <w:r w:rsidRPr="006D2100">
              <w:rPr>
                <w:color w:val="000000" w:themeColor="text1"/>
                <w:szCs w:val="22"/>
              </w:rPr>
              <w:t>Low uptake (Mg/Zn/Fe)</w:t>
            </w:r>
          </w:p>
          <w:p w14:paraId="654D3358" w14:textId="77777777" w:rsidR="0020482B" w:rsidRPr="006D2100" w:rsidRDefault="0020482B" w:rsidP="00815FFE">
            <w:pPr>
              <w:pStyle w:val="Caption"/>
              <w:spacing w:after="0" w:line="360" w:lineRule="auto"/>
              <w:jc w:val="both"/>
              <w:rPr>
                <w:color w:val="000000" w:themeColor="text1"/>
                <w:szCs w:val="22"/>
              </w:rPr>
            </w:pPr>
          </w:p>
        </w:tc>
        <w:tc>
          <w:tcPr>
            <w:tcW w:w="3331" w:type="dxa"/>
          </w:tcPr>
          <w:p w14:paraId="5DB7A03E"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MgSO</w:t>
            </w:r>
            <w:r w:rsidRPr="007761BA">
              <w:rPr>
                <w:b w:val="0"/>
                <w:color w:val="000000" w:themeColor="text1"/>
                <w:szCs w:val="22"/>
                <w:vertAlign w:val="subscript"/>
              </w:rPr>
              <w:t>4</w:t>
            </w:r>
          </w:p>
        </w:tc>
        <w:tc>
          <w:tcPr>
            <w:tcW w:w="2908" w:type="dxa"/>
          </w:tcPr>
          <w:p w14:paraId="688B4C3A"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17</w:t>
            </w:r>
          </w:p>
        </w:tc>
      </w:tr>
      <w:tr w:rsidR="0020482B" w:rsidRPr="006D2100" w14:paraId="32A5FC48" w14:textId="77777777" w:rsidTr="00C62E3E">
        <w:trPr>
          <w:trHeight w:val="125"/>
          <w:jc w:val="center"/>
        </w:trPr>
        <w:tc>
          <w:tcPr>
            <w:tcW w:w="1274" w:type="dxa"/>
            <w:vMerge/>
          </w:tcPr>
          <w:p w14:paraId="49EA516A" w14:textId="77777777" w:rsidR="0020482B" w:rsidRPr="006D2100" w:rsidRDefault="0020482B" w:rsidP="00815FFE">
            <w:pPr>
              <w:pStyle w:val="Caption"/>
              <w:spacing w:after="0" w:line="360" w:lineRule="auto"/>
              <w:jc w:val="both"/>
              <w:rPr>
                <w:color w:val="000000" w:themeColor="text1"/>
                <w:szCs w:val="22"/>
              </w:rPr>
            </w:pPr>
          </w:p>
        </w:tc>
        <w:tc>
          <w:tcPr>
            <w:tcW w:w="3331" w:type="dxa"/>
          </w:tcPr>
          <w:p w14:paraId="3D421EB5"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FeSO</w:t>
            </w:r>
            <w:r w:rsidRPr="007761BA">
              <w:rPr>
                <w:b w:val="0"/>
                <w:color w:val="000000" w:themeColor="text1"/>
                <w:szCs w:val="22"/>
                <w:vertAlign w:val="subscript"/>
              </w:rPr>
              <w:t>4</w:t>
            </w:r>
          </w:p>
        </w:tc>
        <w:tc>
          <w:tcPr>
            <w:tcW w:w="2908" w:type="dxa"/>
          </w:tcPr>
          <w:p w14:paraId="2CA0DF5F"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43</w:t>
            </w:r>
          </w:p>
        </w:tc>
      </w:tr>
      <w:tr w:rsidR="0020482B" w:rsidRPr="006D2100" w14:paraId="0A9BCC02" w14:textId="77777777" w:rsidTr="00C62E3E">
        <w:trPr>
          <w:trHeight w:val="141"/>
          <w:jc w:val="center"/>
        </w:trPr>
        <w:tc>
          <w:tcPr>
            <w:tcW w:w="1274" w:type="dxa"/>
            <w:vMerge/>
          </w:tcPr>
          <w:p w14:paraId="24CC158C" w14:textId="77777777" w:rsidR="0020482B" w:rsidRPr="006D2100" w:rsidRDefault="0020482B" w:rsidP="00815FFE">
            <w:pPr>
              <w:pStyle w:val="Caption"/>
              <w:spacing w:after="0" w:line="360" w:lineRule="auto"/>
              <w:jc w:val="both"/>
              <w:rPr>
                <w:color w:val="000000" w:themeColor="text1"/>
                <w:szCs w:val="22"/>
              </w:rPr>
            </w:pPr>
          </w:p>
        </w:tc>
        <w:tc>
          <w:tcPr>
            <w:tcW w:w="3331" w:type="dxa"/>
          </w:tcPr>
          <w:p w14:paraId="446368F6"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ZnSO</w:t>
            </w:r>
            <w:r w:rsidRPr="007761BA">
              <w:rPr>
                <w:b w:val="0"/>
                <w:color w:val="000000" w:themeColor="text1"/>
                <w:szCs w:val="22"/>
                <w:vertAlign w:val="subscript"/>
              </w:rPr>
              <w:t>4</w:t>
            </w:r>
          </w:p>
        </w:tc>
        <w:tc>
          <w:tcPr>
            <w:tcW w:w="2908" w:type="dxa"/>
          </w:tcPr>
          <w:p w14:paraId="34BE7BB0"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90</w:t>
            </w:r>
          </w:p>
        </w:tc>
      </w:tr>
      <w:tr w:rsidR="0020482B" w:rsidRPr="006D2100" w14:paraId="37625C78" w14:textId="77777777" w:rsidTr="00C62E3E">
        <w:trPr>
          <w:trHeight w:val="141"/>
          <w:jc w:val="center"/>
        </w:trPr>
        <w:tc>
          <w:tcPr>
            <w:tcW w:w="1274" w:type="dxa"/>
            <w:vMerge/>
          </w:tcPr>
          <w:p w14:paraId="15EE1DA1" w14:textId="77777777" w:rsidR="0020482B" w:rsidRPr="006D2100" w:rsidRDefault="0020482B" w:rsidP="00815FFE">
            <w:pPr>
              <w:pStyle w:val="Caption"/>
              <w:spacing w:after="0" w:line="360" w:lineRule="auto"/>
              <w:jc w:val="both"/>
              <w:rPr>
                <w:color w:val="000000" w:themeColor="text1"/>
                <w:szCs w:val="22"/>
              </w:rPr>
            </w:pPr>
          </w:p>
        </w:tc>
        <w:tc>
          <w:tcPr>
            <w:tcW w:w="3331" w:type="dxa"/>
          </w:tcPr>
          <w:p w14:paraId="6AF3661A"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Total</w:t>
            </w:r>
          </w:p>
        </w:tc>
        <w:tc>
          <w:tcPr>
            <w:tcW w:w="2908" w:type="dxa"/>
          </w:tcPr>
          <w:p w14:paraId="16A0F1A1"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150</w:t>
            </w:r>
          </w:p>
        </w:tc>
      </w:tr>
      <w:tr w:rsidR="0020482B" w:rsidRPr="006D2100" w14:paraId="21565F36" w14:textId="77777777" w:rsidTr="00C62E3E">
        <w:trPr>
          <w:trHeight w:val="141"/>
          <w:jc w:val="center"/>
        </w:trPr>
        <w:tc>
          <w:tcPr>
            <w:tcW w:w="1274" w:type="dxa"/>
            <w:vMerge w:val="restart"/>
          </w:tcPr>
          <w:p w14:paraId="53823D29" w14:textId="77777777" w:rsidR="0020482B" w:rsidRPr="006D2100" w:rsidRDefault="0020482B" w:rsidP="00815FFE">
            <w:pPr>
              <w:pStyle w:val="Caption"/>
              <w:spacing w:after="0" w:line="360" w:lineRule="auto"/>
              <w:jc w:val="both"/>
              <w:rPr>
                <w:color w:val="000000" w:themeColor="text1"/>
                <w:szCs w:val="22"/>
              </w:rPr>
            </w:pPr>
            <w:r w:rsidRPr="006D2100">
              <w:rPr>
                <w:color w:val="000000" w:themeColor="text1"/>
                <w:szCs w:val="22"/>
              </w:rPr>
              <w:t>High Uptake (Mg/Zn/Fe)</w:t>
            </w:r>
          </w:p>
        </w:tc>
        <w:tc>
          <w:tcPr>
            <w:tcW w:w="3331" w:type="dxa"/>
          </w:tcPr>
          <w:p w14:paraId="4671385E"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MgSO</w:t>
            </w:r>
            <w:r w:rsidRPr="007761BA">
              <w:rPr>
                <w:b w:val="0"/>
                <w:color w:val="000000" w:themeColor="text1"/>
                <w:szCs w:val="22"/>
                <w:vertAlign w:val="subscript"/>
              </w:rPr>
              <w:t>4</w:t>
            </w:r>
          </w:p>
        </w:tc>
        <w:tc>
          <w:tcPr>
            <w:tcW w:w="2908" w:type="dxa"/>
          </w:tcPr>
          <w:p w14:paraId="008C4C43"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2665</w:t>
            </w:r>
          </w:p>
        </w:tc>
      </w:tr>
      <w:tr w:rsidR="0020482B" w:rsidRPr="006D2100" w14:paraId="4D0BCA13" w14:textId="77777777" w:rsidTr="00C62E3E">
        <w:trPr>
          <w:trHeight w:val="151"/>
          <w:jc w:val="center"/>
        </w:trPr>
        <w:tc>
          <w:tcPr>
            <w:tcW w:w="1274" w:type="dxa"/>
            <w:vMerge/>
          </w:tcPr>
          <w:p w14:paraId="098F6F4A" w14:textId="77777777" w:rsidR="0020482B" w:rsidRPr="006D2100" w:rsidRDefault="0020482B" w:rsidP="00815FFE">
            <w:pPr>
              <w:pStyle w:val="Caption"/>
              <w:spacing w:after="0" w:line="360" w:lineRule="auto"/>
              <w:jc w:val="both"/>
              <w:rPr>
                <w:color w:val="000000" w:themeColor="text1"/>
                <w:szCs w:val="22"/>
              </w:rPr>
            </w:pPr>
          </w:p>
        </w:tc>
        <w:tc>
          <w:tcPr>
            <w:tcW w:w="3331" w:type="dxa"/>
          </w:tcPr>
          <w:p w14:paraId="5EAD3299"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FeSO</w:t>
            </w:r>
            <w:r w:rsidRPr="007761BA">
              <w:rPr>
                <w:b w:val="0"/>
                <w:color w:val="000000" w:themeColor="text1"/>
                <w:szCs w:val="22"/>
                <w:vertAlign w:val="subscript"/>
              </w:rPr>
              <w:t>4</w:t>
            </w:r>
          </w:p>
        </w:tc>
        <w:tc>
          <w:tcPr>
            <w:tcW w:w="2908" w:type="dxa"/>
          </w:tcPr>
          <w:p w14:paraId="357B0F6E"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5820</w:t>
            </w:r>
          </w:p>
        </w:tc>
      </w:tr>
      <w:tr w:rsidR="0020482B" w:rsidRPr="006D2100" w14:paraId="6D8C0655" w14:textId="77777777" w:rsidTr="00C62E3E">
        <w:trPr>
          <w:jc w:val="center"/>
        </w:trPr>
        <w:tc>
          <w:tcPr>
            <w:tcW w:w="1274" w:type="dxa"/>
            <w:vMerge/>
          </w:tcPr>
          <w:p w14:paraId="58540FF2" w14:textId="77777777" w:rsidR="0020482B" w:rsidRPr="006D2100" w:rsidRDefault="0020482B" w:rsidP="00815FFE">
            <w:pPr>
              <w:pStyle w:val="Caption"/>
              <w:spacing w:after="0" w:line="360" w:lineRule="auto"/>
              <w:jc w:val="both"/>
              <w:rPr>
                <w:color w:val="000000" w:themeColor="text1"/>
                <w:szCs w:val="22"/>
              </w:rPr>
            </w:pPr>
          </w:p>
        </w:tc>
        <w:tc>
          <w:tcPr>
            <w:tcW w:w="3331" w:type="dxa"/>
          </w:tcPr>
          <w:p w14:paraId="2BF496F9"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ZnSO</w:t>
            </w:r>
            <w:r w:rsidRPr="007761BA">
              <w:rPr>
                <w:b w:val="0"/>
                <w:color w:val="000000" w:themeColor="text1"/>
                <w:szCs w:val="22"/>
                <w:vertAlign w:val="subscript"/>
              </w:rPr>
              <w:t>4</w:t>
            </w:r>
          </w:p>
        </w:tc>
        <w:tc>
          <w:tcPr>
            <w:tcW w:w="2908" w:type="dxa"/>
          </w:tcPr>
          <w:p w14:paraId="6150A30D"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14,396</w:t>
            </w:r>
          </w:p>
        </w:tc>
      </w:tr>
      <w:tr w:rsidR="0020482B" w:rsidRPr="006D2100" w14:paraId="0297B1CF" w14:textId="77777777" w:rsidTr="00C62E3E">
        <w:trPr>
          <w:jc w:val="center"/>
        </w:trPr>
        <w:tc>
          <w:tcPr>
            <w:tcW w:w="1274" w:type="dxa"/>
            <w:vMerge/>
          </w:tcPr>
          <w:p w14:paraId="2FDBD833" w14:textId="77777777" w:rsidR="0020482B" w:rsidRPr="006D2100" w:rsidRDefault="0020482B" w:rsidP="00815FFE">
            <w:pPr>
              <w:pStyle w:val="Caption"/>
              <w:spacing w:after="0" w:line="360" w:lineRule="auto"/>
              <w:jc w:val="both"/>
              <w:rPr>
                <w:color w:val="000000" w:themeColor="text1"/>
                <w:szCs w:val="22"/>
              </w:rPr>
            </w:pPr>
          </w:p>
        </w:tc>
        <w:tc>
          <w:tcPr>
            <w:tcW w:w="3331" w:type="dxa"/>
          </w:tcPr>
          <w:p w14:paraId="2001F6F8"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Total</w:t>
            </w:r>
          </w:p>
        </w:tc>
        <w:tc>
          <w:tcPr>
            <w:tcW w:w="2908" w:type="dxa"/>
          </w:tcPr>
          <w:p w14:paraId="066C44CA"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22,855</w:t>
            </w:r>
          </w:p>
        </w:tc>
      </w:tr>
      <w:tr w:rsidR="0020482B" w:rsidRPr="006D2100" w14:paraId="271EF0F6" w14:textId="77777777" w:rsidTr="00C62E3E">
        <w:trPr>
          <w:jc w:val="center"/>
        </w:trPr>
        <w:tc>
          <w:tcPr>
            <w:tcW w:w="1274" w:type="dxa"/>
          </w:tcPr>
          <w:p w14:paraId="108CFD10" w14:textId="77777777" w:rsidR="0020482B" w:rsidRPr="006D2100" w:rsidRDefault="0020482B" w:rsidP="00815FFE">
            <w:pPr>
              <w:pStyle w:val="Caption"/>
              <w:spacing w:after="0" w:line="360" w:lineRule="auto"/>
              <w:jc w:val="both"/>
              <w:rPr>
                <w:color w:val="000000" w:themeColor="text1"/>
                <w:szCs w:val="22"/>
              </w:rPr>
            </w:pPr>
            <w:r w:rsidRPr="006D2100">
              <w:rPr>
                <w:color w:val="000000" w:themeColor="text1"/>
                <w:szCs w:val="22"/>
              </w:rPr>
              <w:t>Mg</w:t>
            </w:r>
          </w:p>
        </w:tc>
        <w:tc>
          <w:tcPr>
            <w:tcW w:w="3331" w:type="dxa"/>
          </w:tcPr>
          <w:p w14:paraId="0BD4FE66"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MgSO</w:t>
            </w:r>
            <w:r w:rsidRPr="007761BA">
              <w:rPr>
                <w:b w:val="0"/>
                <w:color w:val="000000" w:themeColor="text1"/>
                <w:szCs w:val="22"/>
                <w:vertAlign w:val="subscript"/>
              </w:rPr>
              <w:t>4</w:t>
            </w:r>
          </w:p>
        </w:tc>
        <w:tc>
          <w:tcPr>
            <w:tcW w:w="2908" w:type="dxa"/>
          </w:tcPr>
          <w:p w14:paraId="05304049"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2665</w:t>
            </w:r>
          </w:p>
        </w:tc>
      </w:tr>
      <w:tr w:rsidR="0020482B" w:rsidRPr="006D2100" w14:paraId="605995CA" w14:textId="77777777" w:rsidTr="00C62E3E">
        <w:trPr>
          <w:jc w:val="center"/>
        </w:trPr>
        <w:tc>
          <w:tcPr>
            <w:tcW w:w="1274" w:type="dxa"/>
          </w:tcPr>
          <w:p w14:paraId="690EC8EF" w14:textId="77777777" w:rsidR="0020482B" w:rsidRPr="006D2100" w:rsidRDefault="0020482B" w:rsidP="00815FFE">
            <w:pPr>
              <w:pStyle w:val="Caption"/>
              <w:spacing w:after="0" w:line="360" w:lineRule="auto"/>
              <w:jc w:val="both"/>
              <w:rPr>
                <w:color w:val="000000" w:themeColor="text1"/>
                <w:szCs w:val="22"/>
              </w:rPr>
            </w:pPr>
            <w:r w:rsidRPr="006D2100">
              <w:rPr>
                <w:color w:val="000000" w:themeColor="text1"/>
                <w:szCs w:val="22"/>
              </w:rPr>
              <w:t>Zn</w:t>
            </w:r>
          </w:p>
        </w:tc>
        <w:tc>
          <w:tcPr>
            <w:tcW w:w="3331" w:type="dxa"/>
          </w:tcPr>
          <w:p w14:paraId="773F622C"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ZnSO</w:t>
            </w:r>
            <w:r w:rsidRPr="007761BA">
              <w:rPr>
                <w:b w:val="0"/>
                <w:color w:val="000000" w:themeColor="text1"/>
                <w:szCs w:val="22"/>
                <w:vertAlign w:val="subscript"/>
              </w:rPr>
              <w:t>4</w:t>
            </w:r>
          </w:p>
        </w:tc>
        <w:tc>
          <w:tcPr>
            <w:tcW w:w="2908" w:type="dxa"/>
          </w:tcPr>
          <w:p w14:paraId="55A61AA9"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5820</w:t>
            </w:r>
          </w:p>
        </w:tc>
      </w:tr>
      <w:tr w:rsidR="0020482B" w:rsidRPr="006D2100" w14:paraId="3AE67230" w14:textId="77777777" w:rsidTr="00C62E3E">
        <w:trPr>
          <w:jc w:val="center"/>
        </w:trPr>
        <w:tc>
          <w:tcPr>
            <w:tcW w:w="1274" w:type="dxa"/>
          </w:tcPr>
          <w:p w14:paraId="67D462C3" w14:textId="77777777" w:rsidR="0020482B" w:rsidRPr="006D2100" w:rsidRDefault="0020482B" w:rsidP="00815FFE">
            <w:pPr>
              <w:pStyle w:val="Caption"/>
              <w:spacing w:after="0" w:line="360" w:lineRule="auto"/>
              <w:jc w:val="both"/>
              <w:rPr>
                <w:color w:val="000000" w:themeColor="text1"/>
                <w:szCs w:val="22"/>
              </w:rPr>
            </w:pPr>
            <w:r w:rsidRPr="006D2100">
              <w:rPr>
                <w:color w:val="000000" w:themeColor="text1"/>
                <w:szCs w:val="22"/>
              </w:rPr>
              <w:t>Fe</w:t>
            </w:r>
          </w:p>
        </w:tc>
        <w:tc>
          <w:tcPr>
            <w:tcW w:w="3331" w:type="dxa"/>
          </w:tcPr>
          <w:p w14:paraId="59DDC0C2"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FeSO</w:t>
            </w:r>
            <w:r w:rsidRPr="007761BA">
              <w:rPr>
                <w:b w:val="0"/>
                <w:color w:val="000000" w:themeColor="text1"/>
                <w:szCs w:val="22"/>
                <w:vertAlign w:val="subscript"/>
              </w:rPr>
              <w:t>4</w:t>
            </w:r>
          </w:p>
        </w:tc>
        <w:tc>
          <w:tcPr>
            <w:tcW w:w="2908" w:type="dxa"/>
          </w:tcPr>
          <w:p w14:paraId="2B38BE3A" w14:textId="77777777" w:rsidR="0020482B" w:rsidRPr="007761BA" w:rsidRDefault="0020482B" w:rsidP="00815FFE">
            <w:pPr>
              <w:pStyle w:val="Caption"/>
              <w:spacing w:after="0" w:line="360" w:lineRule="auto"/>
              <w:jc w:val="center"/>
              <w:rPr>
                <w:b w:val="0"/>
                <w:color w:val="000000" w:themeColor="text1"/>
                <w:szCs w:val="22"/>
              </w:rPr>
            </w:pPr>
            <w:r w:rsidRPr="007761BA">
              <w:rPr>
                <w:b w:val="0"/>
                <w:color w:val="000000" w:themeColor="text1"/>
                <w:szCs w:val="22"/>
              </w:rPr>
              <w:t>14,396</w:t>
            </w:r>
          </w:p>
        </w:tc>
      </w:tr>
    </w:tbl>
    <w:p w14:paraId="35B78157" w14:textId="77777777" w:rsidR="007761BA" w:rsidRDefault="007761BA" w:rsidP="00B50382">
      <w:pPr>
        <w:spacing w:line="480" w:lineRule="auto"/>
        <w:jc w:val="both"/>
      </w:pPr>
    </w:p>
    <w:p w14:paraId="5BE9C1A4" w14:textId="25FC277A" w:rsidR="003B3973" w:rsidRPr="003B3973" w:rsidRDefault="003B3973" w:rsidP="00B50382">
      <w:pPr>
        <w:spacing w:line="480" w:lineRule="auto"/>
        <w:jc w:val="both"/>
        <w:rPr>
          <w:b/>
        </w:rPr>
      </w:pPr>
      <w:r w:rsidRPr="003B3973">
        <w:rPr>
          <w:b/>
        </w:rPr>
        <w:t xml:space="preserve">3.1.1 </w:t>
      </w:r>
      <w:r w:rsidR="00263469">
        <w:rPr>
          <w:b/>
        </w:rPr>
        <w:t>Effect of additional</w:t>
      </w:r>
      <w:r>
        <w:rPr>
          <w:b/>
        </w:rPr>
        <w:t xml:space="preserve"> metal sulfates</w:t>
      </w:r>
      <w:r w:rsidR="00263469">
        <w:rPr>
          <w:b/>
        </w:rPr>
        <w:t xml:space="preserve"> on the bio-oil yield and HHV of Spirulina </w:t>
      </w:r>
    </w:p>
    <w:p w14:paraId="31B6A505" w14:textId="5A2415A4" w:rsidR="0020482B" w:rsidRPr="0028520A" w:rsidRDefault="0020482B" w:rsidP="00B50382">
      <w:pPr>
        <w:spacing w:line="480" w:lineRule="auto"/>
        <w:jc w:val="both"/>
      </w:pPr>
      <w:r>
        <w:t xml:space="preserve">The </w:t>
      </w:r>
      <w:r w:rsidR="00815FFE">
        <w:t>S</w:t>
      </w:r>
      <w:r>
        <w:t>pirulina/metal mixtures were processed in a batch reaction</w:t>
      </w:r>
      <w:r w:rsidR="009F42EB">
        <w:t>s</w:t>
      </w:r>
      <w:r>
        <w:t xml:space="preserve"> at </w:t>
      </w:r>
      <w:r w:rsidR="009F42EB">
        <w:t>either</w:t>
      </w:r>
      <w:r>
        <w:t xml:space="preserve"> 310 </w:t>
      </w:r>
      <w:r w:rsidRPr="00823FA3">
        <w:rPr>
          <w:rFonts w:ascii="Arial" w:hAnsi="Arial" w:cs="Arial"/>
        </w:rPr>
        <w:t>°</w:t>
      </w:r>
      <w:r w:rsidRPr="00823FA3">
        <w:t>C</w:t>
      </w:r>
      <w:r>
        <w:t xml:space="preserve"> </w:t>
      </w:r>
      <w:r w:rsidR="009F42EB">
        <w:t>or</w:t>
      </w:r>
      <w:r>
        <w:t xml:space="preserve"> 350 </w:t>
      </w:r>
      <w:r w:rsidRPr="00823FA3">
        <w:rPr>
          <w:rFonts w:ascii="Arial" w:hAnsi="Arial" w:cs="Arial"/>
        </w:rPr>
        <w:t>°</w:t>
      </w:r>
      <w:r w:rsidRPr="00823FA3">
        <w:t>C</w:t>
      </w:r>
      <w:r>
        <w:t xml:space="preserve">. The resulting oil was extracted, weighed and the N content and energy density assessed (figure 2). </w:t>
      </w:r>
      <w:r w:rsidRPr="00823FA3">
        <w:t>In the majority of cases</w:t>
      </w:r>
      <w:r>
        <w:t xml:space="preserve"> lower processing temperatures </w:t>
      </w:r>
      <w:r w:rsidRPr="00823FA3">
        <w:t>generated higher bio-</w:t>
      </w:r>
      <w:r w:rsidR="00351241">
        <w:t>oil</w:t>
      </w:r>
      <w:r w:rsidRPr="00823FA3">
        <w:t xml:space="preserve"> yields than those obtained at </w:t>
      </w:r>
      <w:r w:rsidRPr="00823FA3">
        <w:rPr>
          <w:i/>
        </w:rPr>
        <w:t>ca.</w:t>
      </w:r>
      <w:r w:rsidRPr="00823FA3">
        <w:t xml:space="preserve"> 350 </w:t>
      </w:r>
      <w:r w:rsidRPr="00823FA3">
        <w:rPr>
          <w:rFonts w:ascii="Arial" w:hAnsi="Arial" w:cs="Arial"/>
        </w:rPr>
        <w:t>°</w:t>
      </w:r>
      <w:r w:rsidRPr="00823FA3">
        <w:t>C.</w:t>
      </w:r>
      <w:r>
        <w:t xml:space="preserve"> This corresponds directly with previous literature findings</w:t>
      </w:r>
      <w:r w:rsidR="00B473AB">
        <w:t xml:space="preserve"> </w:t>
      </w:r>
      <w:r w:rsidR="00B473AB">
        <w:fldChar w:fldCharType="begin">
          <w:fldData xml:space="preserve">PEVuZE5vdGU+PENpdGU+PEF1dGhvcj5Eb3RlPC9BdXRob3I+PFllYXI+MTk5NDwvWWVhcj48UmVj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</w:fldData>
        </w:fldChar>
      </w:r>
      <w:r w:rsidR="00E7405E">
        <w:instrText xml:space="preserve"> ADDIN EN.CITE </w:instrText>
      </w:r>
      <w:r w:rsidR="00E7405E">
        <w:fldChar w:fldCharType="begin">
          <w:fldData xml:space="preserve">PEVuZE5vdGU+PENpdGU+PEF1dGhvcj5Eb3RlPC9BdXRob3I+PFllYXI+MTk5NDwvWWVhcj48UmVj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</w:fldData>
        </w:fldChar>
      </w:r>
      <w:r w:rsidR="00E7405E">
        <w:instrText xml:space="preserve"> ADDIN EN.CITE.DATA </w:instrText>
      </w:r>
      <w:r w:rsidR="00E7405E">
        <w:fldChar w:fldCharType="end"/>
      </w:r>
      <w:r w:rsidR="00B473AB">
        <w:fldChar w:fldCharType="separate"/>
      </w:r>
      <w:r w:rsidR="00E7405E">
        <w:rPr>
          <w:noProof/>
        </w:rPr>
        <w:t>[29-31]</w:t>
      </w:r>
      <w:r w:rsidR="00B473AB">
        <w:fldChar w:fldCharType="end"/>
      </w:r>
      <w:r>
        <w:t>.</w:t>
      </w:r>
      <w:r w:rsidRPr="0028520A">
        <w:t xml:space="preserve"> There </w:t>
      </w:r>
      <w:r>
        <w:t>was</w:t>
      </w:r>
      <w:r w:rsidRPr="0028520A">
        <w:t xml:space="preserve"> </w:t>
      </w:r>
      <w:r>
        <w:t xml:space="preserve">also </w:t>
      </w:r>
      <w:r w:rsidRPr="0028520A">
        <w:t>a positive correlation between bio-</w:t>
      </w:r>
      <w:r w:rsidR="00351241">
        <w:t>oil</w:t>
      </w:r>
      <w:r w:rsidRPr="0028520A">
        <w:t xml:space="preserve"> yields and increasi</w:t>
      </w:r>
      <w:r>
        <w:t xml:space="preserve">ng total metal content (Figure 2a), and </w:t>
      </w:r>
      <w:r w:rsidRPr="0028520A">
        <w:t>is potentially due to the catalytic effect of the metals present.</w:t>
      </w:r>
      <w:r>
        <w:rPr>
          <w:vertAlign w:val="superscript"/>
        </w:rPr>
        <w:t xml:space="preserve"> </w:t>
      </w:r>
      <w:r w:rsidRPr="0028520A">
        <w:t>FeSO</w:t>
      </w:r>
      <w:r w:rsidRPr="0028520A">
        <w:rPr>
          <w:vertAlign w:val="subscript"/>
        </w:rPr>
        <w:t>4</w:t>
      </w:r>
      <w:r w:rsidRPr="0028520A">
        <w:t xml:space="preserve"> is commonly employed as a catalyst in coal liquefaction</w:t>
      </w:r>
      <w:r w:rsidR="000A111A">
        <w:t xml:space="preserve"> for example</w:t>
      </w:r>
      <w:r w:rsidR="00157531">
        <w:t xml:space="preserve"> </w:t>
      </w:r>
      <w:r w:rsidR="00157531">
        <w:fldChar w:fldCharType="begin"/>
      </w:r>
      <w:r w:rsidR="00E7405E">
        <w:instrText xml:space="preserve"> ADDIN EN.CITE &lt;EndNote&gt;&lt;Cite&gt;&lt;Author&gt;Weller&lt;/Author&gt;&lt;Year&gt;1994&lt;/Year&gt;&lt;RecNum&gt;983&lt;/RecNum&gt;&lt;DisplayText&gt;[32]&lt;/DisplayText&gt;&lt;record&gt;&lt;rec-number&gt;983&lt;/rec-number&gt;&lt;foreign-keys&gt;&lt;key app="EN" db-id="fa5pvx0a352spiedf5tvff5409zrwa0zxvsd"&gt;983&lt;/key&gt;&lt;/foreign-keys&gt;&lt;ref-type name="Journal Article"&gt;17&lt;/ref-type&gt;&lt;contributors&gt;&lt;authors&gt;&lt;author&gt;Weller, Sol W&lt;/author&gt;&lt;/authors&gt;&lt;/contributors&gt;&lt;titles&gt;&lt;title&gt;Catalysis and catalyst dispersion in coal liquefaction&lt;/title&gt;&lt;secondary-title&gt;Energy &amp;amp; fuels&lt;/secondary-title&gt;&lt;/titles&gt;&lt;periodical&gt;&lt;full-title&gt;Energy &amp;amp; Fuels&lt;/full-title&gt;&lt;/periodical&gt;&lt;pages&gt;415-420&lt;/pages&gt;&lt;volume&gt;8&lt;/volume&gt;&lt;number&gt;2&lt;/number&gt;&lt;dates&gt;&lt;year&gt;1994&lt;/year&gt;&lt;/dates&gt;&lt;isbn&gt;0887-0624&lt;/isbn&gt;&lt;urls&gt;&lt;/urls&gt;&lt;/record&gt;&lt;/Cite&gt;&lt;/EndNote&gt;</w:instrText>
      </w:r>
      <w:r w:rsidR="00157531">
        <w:fldChar w:fldCharType="separate"/>
      </w:r>
      <w:r w:rsidR="00E7405E">
        <w:rPr>
          <w:noProof/>
        </w:rPr>
        <w:t>[32]</w:t>
      </w:r>
      <w:r w:rsidR="00157531">
        <w:fldChar w:fldCharType="end"/>
      </w:r>
      <w:r w:rsidRPr="0028520A">
        <w:t xml:space="preserve">, </w:t>
      </w:r>
      <w:r>
        <w:t xml:space="preserve">and </w:t>
      </w:r>
      <w:r w:rsidRPr="0028520A">
        <w:t xml:space="preserve">significant improvements in oil yield when liquefying pine wood in supercritical ethanol using 5% </w:t>
      </w:r>
      <w:r w:rsidR="001B66BD">
        <w:t xml:space="preserve">w/w </w:t>
      </w:r>
      <w:r w:rsidRPr="0028520A">
        <w:t>FeSO</w:t>
      </w:r>
      <w:r w:rsidRPr="000A111A">
        <w:rPr>
          <w:vertAlign w:val="subscript"/>
        </w:rPr>
        <w:t>4</w:t>
      </w:r>
      <w:r>
        <w:t xml:space="preserve"> have </w:t>
      </w:r>
      <w:r w:rsidR="000A111A">
        <w:t xml:space="preserve">also </w:t>
      </w:r>
      <w:r>
        <w:t>been reported</w:t>
      </w:r>
      <w:r w:rsidR="00157531">
        <w:t xml:space="preserve"> </w:t>
      </w:r>
      <w:r w:rsidR="00157531">
        <w:fldChar w:fldCharType="begin"/>
      </w:r>
      <w:r w:rsidR="00E7405E">
        <w:instrText xml:space="preserve"> ADDIN EN.CITE &lt;EndNote&gt;&lt;Cite&gt;&lt;Author&gt;Xu&lt;/Author&gt;&lt;Year&gt;2008&lt;/Year&gt;&lt;RecNum&gt;984&lt;/RecNum&gt;&lt;DisplayText&gt;[33]&lt;/DisplayText&gt;&lt;record&gt;&lt;rec-number&gt;984&lt;/rec-number&gt;&lt;foreign-keys&gt;&lt;key app="EN" db-id="fa5pvx0a352spiedf5tvff5409zrwa0zxvsd"&gt;984&lt;/key&gt;&lt;/foreign-keys&gt;&lt;ref-type name="Journal Article"&gt;17&lt;/ref-type&gt;&lt;contributors&gt;&lt;authors&gt;&lt;author&gt;Xu, Chunbao&lt;/author&gt;&lt;author&gt;Etcheverry, Timothy&lt;/author&gt;&lt;/authors&gt;&lt;/contributors&gt;&lt;titles&gt;&lt;title&gt;Hydro-liquefaction of woody biomass in sub-and super-critical ethanol with iron-based catalysts&lt;/title&gt;&lt;secondary-title&gt;Fuel&lt;/secondary-title&gt;&lt;/titles&gt;&lt;periodical&gt;&lt;full-title&gt;Fuel&lt;/full-title&gt;&lt;/periodical&gt;&lt;pages&gt;335-345&lt;/pages&gt;&lt;volume&gt;87&lt;/volume&gt;&lt;number&gt;3&lt;/number&gt;&lt;dates&gt;&lt;year&gt;2008&lt;/year&gt;&lt;/dates&gt;&lt;isbn&gt;0016-2361&lt;/isbn&gt;&lt;urls&gt;&lt;/urls&gt;&lt;/record&gt;&lt;/Cite&gt;&lt;/EndNote&gt;</w:instrText>
      </w:r>
      <w:r w:rsidR="00157531">
        <w:fldChar w:fldCharType="separate"/>
      </w:r>
      <w:r w:rsidR="00E7405E">
        <w:rPr>
          <w:noProof/>
        </w:rPr>
        <w:t>[33]</w:t>
      </w:r>
      <w:r w:rsidR="00157531">
        <w:fldChar w:fldCharType="end"/>
      </w:r>
      <w:r>
        <w:t>.</w:t>
      </w:r>
      <w:r w:rsidRPr="0028520A">
        <w:t xml:space="preserve"> Similarly, the addition of both MgSO</w:t>
      </w:r>
      <w:r w:rsidRPr="000A111A">
        <w:rPr>
          <w:vertAlign w:val="subscript"/>
        </w:rPr>
        <w:t>4</w:t>
      </w:r>
      <w:r w:rsidRPr="0028520A">
        <w:t xml:space="preserve"> and ZnSO</w:t>
      </w:r>
      <w:r w:rsidRPr="000A111A">
        <w:rPr>
          <w:vertAlign w:val="subscript"/>
        </w:rPr>
        <w:t>4</w:t>
      </w:r>
      <w:r w:rsidRPr="0028520A">
        <w:t xml:space="preserve"> also increased </w:t>
      </w:r>
      <w:r w:rsidR="00351241">
        <w:t xml:space="preserve">oil </w:t>
      </w:r>
      <w:r w:rsidRPr="0028520A">
        <w:t>yields, though neither metal has</w:t>
      </w:r>
      <w:r w:rsidR="007F4DFF">
        <w:t xml:space="preserve"> previously</w:t>
      </w:r>
      <w:r w:rsidRPr="0028520A">
        <w:t xml:space="preserve"> been investigated as a potential HTL catalyst. </w:t>
      </w:r>
    </w:p>
    <w:p w14:paraId="46E56EA2" w14:textId="139E451A" w:rsidR="0020482B" w:rsidRPr="0028520A" w:rsidRDefault="001E2B45" w:rsidP="00B50382">
      <w:pPr>
        <w:spacing w:line="480" w:lineRule="auto"/>
        <w:jc w:val="both"/>
      </w:pPr>
      <w:r>
        <w:t>N content of the bio-oil was reduced from 9.7% in the Spirulina feed to 7% in the bio-oil produced by HTL without additional metals</w:t>
      </w:r>
      <w:r w:rsidR="0020482B">
        <w:t xml:space="preserve">. </w:t>
      </w:r>
      <w:r w:rsidR="007F4DFF">
        <w:t>All</w:t>
      </w:r>
      <w:r w:rsidR="0020482B">
        <w:t xml:space="preserve"> samples </w:t>
      </w:r>
      <w:r w:rsidR="007F4DFF">
        <w:t>displayed lower bio-oil N</w:t>
      </w:r>
      <w:r w:rsidR="007F4DFF" w:rsidRPr="0028520A">
        <w:t xml:space="preserve"> </w:t>
      </w:r>
      <w:r w:rsidR="0020482B" w:rsidRPr="0028520A">
        <w:t xml:space="preserve">levels at </w:t>
      </w:r>
      <w:r w:rsidR="0020482B">
        <w:t xml:space="preserve">higher processing temperatures. The metal </w:t>
      </w:r>
      <w:r w:rsidR="00F04C81">
        <w:t>conc</w:t>
      </w:r>
      <w:r w:rsidR="001B66BD">
        <w:t>e</w:t>
      </w:r>
      <w:r w:rsidR="00F04C81">
        <w:t>n</w:t>
      </w:r>
      <w:r w:rsidR="001B66BD">
        <w:t>tration</w:t>
      </w:r>
      <w:r w:rsidR="0020482B">
        <w:t xml:space="preserve"> had little effect on the N content of the bio-oil though slightly elevated levels were observed in the process when Sn and Mg were present. Despite </w:t>
      </w:r>
      <w:r w:rsidR="001B66BD">
        <w:t>the</w:t>
      </w:r>
      <w:r w:rsidR="0020482B">
        <w:t xml:space="preserve"> N content</w:t>
      </w:r>
      <w:r w:rsidR="001B66BD">
        <w:t xml:space="preserve"> of the bio</w:t>
      </w:r>
      <w:r w:rsidR="00F04C81">
        <w:t>-</w:t>
      </w:r>
      <w:r w:rsidR="00351241">
        <w:t>oil</w:t>
      </w:r>
      <w:r w:rsidR="001B66BD">
        <w:t xml:space="preserve"> be</w:t>
      </w:r>
      <w:r w:rsidR="00F04C81">
        <w:t>i</w:t>
      </w:r>
      <w:r w:rsidR="001B66BD">
        <w:t xml:space="preserve">ng lower than in </w:t>
      </w:r>
      <w:r w:rsidR="00931EA2">
        <w:t xml:space="preserve">unprocessed </w:t>
      </w:r>
      <w:r w:rsidR="001B66BD">
        <w:t>Spirulina</w:t>
      </w:r>
      <w:r w:rsidR="0020482B">
        <w:t xml:space="preserve">, the presence of metals </w:t>
      </w:r>
      <w:r w:rsidR="007E54D8">
        <w:t xml:space="preserve">did </w:t>
      </w:r>
      <w:r w:rsidR="0020482B">
        <w:t xml:space="preserve">not reduce the N content to a suitable level for combustion and a further hydrogenation upgrading stage would be necessary to produce hydrocarbon fuels from this process. </w:t>
      </w:r>
    </w:p>
    <w:p w14:paraId="558334E2" w14:textId="4F47B3AD" w:rsidR="00263469" w:rsidRPr="0028520A" w:rsidRDefault="0020482B" w:rsidP="00B50382">
      <w:pPr>
        <w:spacing w:line="480" w:lineRule="auto"/>
        <w:jc w:val="both"/>
      </w:pPr>
      <w:r>
        <w:t>Consistently higher energy density was observed</w:t>
      </w:r>
      <w:r w:rsidRPr="0028520A">
        <w:t xml:space="preserve"> at </w:t>
      </w:r>
      <w:r>
        <w:t xml:space="preserve">the </w:t>
      </w:r>
      <w:r w:rsidRPr="0028520A">
        <w:t>higher processing temperatures</w:t>
      </w:r>
      <w:r>
        <w:t xml:space="preserve">, </w:t>
      </w:r>
      <w:r w:rsidRPr="0028520A">
        <w:t>consistent with</w:t>
      </w:r>
      <w:r w:rsidR="00B473AB">
        <w:t xml:space="preserve"> findings in the literature</w:t>
      </w:r>
      <w:r w:rsidR="00157531">
        <w:t xml:space="preserve"> </w:t>
      </w:r>
      <w:r w:rsidR="00157531">
        <w:fldChar w:fldCharType="begin"/>
      </w:r>
      <w:r w:rsidR="00E7405E">
        <w:instrText xml:space="preserve"> ADDIN EN.CITE &lt;EndNote&gt;&lt;Cite&gt;&lt;Author&gt;Biller&lt;/Author&gt;&lt;Year&gt;2011&lt;/Year&gt;&lt;RecNum&gt;973&lt;/RecNum&gt;&lt;DisplayText&gt;[17]&lt;/DisplayText&gt;&lt;record&gt;&lt;rec-number&gt;973&lt;/rec-number&gt;&lt;foreign-keys&gt;&lt;key app="EN" db-id="fa5pvx0a352spiedf5tvff5409zrwa0zxvsd"&gt;973&lt;/key&gt;&lt;/foreign-keys&gt;&lt;ref-type name="Journal Article"&gt;17&lt;/ref-type&gt;&lt;contributors&gt;&lt;authors&gt;&lt;author&gt;Biller, P&lt;/author&gt;&lt;author&gt;Ross, AB&lt;/author&gt;&lt;/authors&gt;&lt;/contributors&gt;&lt;titles&gt;&lt;title&gt;Potential yields and properties of oil from the hydrothermal liquefaction of microalgae with different biochemical content&lt;/title&gt;&lt;secondary-title&gt;Bioresource Technology&lt;/secondary-title&gt;&lt;/titles&gt;&lt;periodical&gt;&lt;full-title&gt;Bioresource Technology&lt;/full-title&gt;&lt;/periodical&gt;&lt;pages&gt;215-225&lt;/pages&gt;&lt;volume&gt;102&lt;/volume&gt;&lt;number&gt;1&lt;/number&gt;&lt;dates&gt;&lt;year&gt;2011&lt;/year&gt;&lt;/dates&gt;&lt;isbn&gt;0960-8524&lt;/isbn&gt;&lt;urls&gt;&lt;/urls&gt;&lt;/record&gt;&lt;/Cite&gt;&lt;/EndNote&gt;</w:instrText>
      </w:r>
      <w:r w:rsidR="00157531">
        <w:fldChar w:fldCharType="separate"/>
      </w:r>
      <w:r w:rsidR="00E7405E">
        <w:rPr>
          <w:noProof/>
        </w:rPr>
        <w:t>[17]</w:t>
      </w:r>
      <w:r w:rsidR="00157531">
        <w:fldChar w:fldCharType="end"/>
      </w:r>
      <w:r w:rsidR="00B473AB">
        <w:t>.</w:t>
      </w:r>
      <w:r>
        <w:t xml:space="preserve"> Interestingly, i</w:t>
      </w:r>
      <w:r w:rsidRPr="0028520A">
        <w:t>ncreas</w:t>
      </w:r>
      <w:r>
        <w:t xml:space="preserve">ed </w:t>
      </w:r>
      <w:r w:rsidR="00444162">
        <w:t>concentrations</w:t>
      </w:r>
      <w:r w:rsidRPr="0028520A">
        <w:t xml:space="preserve"> </w:t>
      </w:r>
      <w:r w:rsidR="00444162">
        <w:t>of Mg, Zn and Fe</w:t>
      </w:r>
      <w:r w:rsidR="00444162" w:rsidRPr="0028520A">
        <w:t xml:space="preserve"> </w:t>
      </w:r>
      <w:r w:rsidR="007E54D8" w:rsidRPr="0028520A">
        <w:t>cause</w:t>
      </w:r>
      <w:r w:rsidR="007E54D8">
        <w:t>d</w:t>
      </w:r>
      <w:r w:rsidR="007E54D8" w:rsidRPr="0028520A">
        <w:t xml:space="preserve"> </w:t>
      </w:r>
      <w:r w:rsidRPr="0028520A">
        <w:t>a decrease in bio-</w:t>
      </w:r>
      <w:r w:rsidR="00351241">
        <w:t>oil</w:t>
      </w:r>
      <w:r w:rsidRPr="0028520A">
        <w:t xml:space="preserve"> energy content</w:t>
      </w:r>
      <w:r w:rsidR="00444162">
        <w:t xml:space="preserve"> (Fig 2(c))</w:t>
      </w:r>
      <w:r w:rsidRPr="0028520A">
        <w:t xml:space="preserve">. </w:t>
      </w:r>
      <w:r>
        <w:t xml:space="preserve">This is </w:t>
      </w:r>
      <w:r w:rsidR="003015FC">
        <w:t xml:space="preserve">likely the result of </w:t>
      </w:r>
      <w:r>
        <w:t>the higher yields of bio-</w:t>
      </w:r>
      <w:r w:rsidR="00351241">
        <w:t>oil</w:t>
      </w:r>
      <w:r>
        <w:t xml:space="preserve"> observed under these conditions. For example, </w:t>
      </w:r>
      <w:r w:rsidR="00C62E3E" w:rsidRPr="00C62E3E">
        <w:rPr>
          <w:i/>
        </w:rPr>
        <w:t xml:space="preserve">Nannochloropsis </w:t>
      </w:r>
      <w:r>
        <w:t xml:space="preserve"> sp.</w:t>
      </w:r>
      <w:r w:rsidRPr="0028520A">
        <w:t xml:space="preserve"> processed at 350 °C yielded </w:t>
      </w:r>
      <w:r w:rsidR="003015FC" w:rsidRPr="0028520A">
        <w:t>34</w:t>
      </w:r>
      <w:r w:rsidR="003015FC">
        <w:t> </w:t>
      </w:r>
      <w:r w:rsidRPr="0028520A">
        <w:t>% oil with a HHV of 38.1 MJ kg</w:t>
      </w:r>
      <w:r w:rsidRPr="00827BF4">
        <w:rPr>
          <w:vertAlign w:val="superscript"/>
        </w:rPr>
        <w:t>-1</w:t>
      </w:r>
      <w:r w:rsidRPr="0028520A">
        <w:t xml:space="preserve">, while 46 % oil was obtained at a processing temperature of </w:t>
      </w:r>
      <w:r w:rsidR="003015FC" w:rsidRPr="0028520A">
        <w:t>310</w:t>
      </w:r>
      <w:r w:rsidR="003015FC">
        <w:t> </w:t>
      </w:r>
      <w:r w:rsidRPr="0028520A">
        <w:t xml:space="preserve">°C, </w:t>
      </w:r>
      <w:r>
        <w:t xml:space="preserve">though </w:t>
      </w:r>
      <w:r w:rsidRPr="0028520A">
        <w:t>with a much lower HHV of 27.7 MJ kg</w:t>
      </w:r>
      <w:r w:rsidRPr="00827BF4">
        <w:rPr>
          <w:vertAlign w:val="superscript"/>
        </w:rPr>
        <w:t>-1</w:t>
      </w:r>
      <w:r w:rsidR="00B473AB">
        <w:rPr>
          <w:vertAlign w:val="superscript"/>
        </w:rPr>
        <w:t xml:space="preserve"> </w:t>
      </w:r>
      <w:r w:rsidR="00B473AB" w:rsidRPr="00B473AB">
        <w:fldChar w:fldCharType="begin"/>
      </w:r>
      <w:r w:rsidR="00E7405E">
        <w:instrText xml:space="preserve"> ADDIN EN.CITE &lt;EndNote&gt;&lt;Cite&gt;&lt;Author&gt;Toor&lt;/Author&gt;&lt;Year&gt;2011&lt;/Year&gt;&lt;RecNum&gt;971&lt;/RecNum&gt;&lt;DisplayText&gt;[15]&lt;/DisplayText&gt;&lt;record&gt;&lt;rec-number&gt;971&lt;/rec-number&gt;&lt;foreign-keys&gt;&lt;key app="EN" db-id="fa5pvx0a352spiedf5tvff5409zrwa0zxvsd"&gt;971&lt;/key&gt;&lt;/foreign-keys&gt;&lt;ref-type name="Journal Article"&gt;17&lt;/ref-type&gt;&lt;contributors&gt;&lt;authors&gt;&lt;author&gt;Toor, Saqib Sohail&lt;/author&gt;&lt;author&gt;Rosendahl, Lasse&lt;/author&gt;&lt;author&gt;Rudolf, Andreas&lt;/author&gt;&lt;/authors&gt;&lt;/contributors&gt;&lt;titles&gt;&lt;title&gt;Hydrothermal liquefaction of biomass: a review of subcritical water technologies&lt;/title&gt;&lt;secondary-title&gt;Energy&lt;/secondary-title&gt;&lt;/titles&gt;&lt;periodical&gt;&lt;full-title&gt;Energy&lt;/full-title&gt;&lt;/periodical&gt;&lt;pages&gt;2328-2342&lt;/pages&gt;&lt;volume&gt;36&lt;/volume&gt;&lt;number&gt;5&lt;/number&gt;&lt;dates&gt;&lt;year&gt;2011&lt;/year&gt;&lt;/dates&gt;&lt;isbn&gt;0360-5442&lt;/isbn&gt;&lt;urls&gt;&lt;/urls&gt;&lt;/record&gt;&lt;/Cite&gt;&lt;/EndNote&gt;</w:instrText>
      </w:r>
      <w:r w:rsidR="00B473AB" w:rsidRPr="00B473AB">
        <w:fldChar w:fldCharType="separate"/>
      </w:r>
      <w:r w:rsidR="00E7405E">
        <w:rPr>
          <w:noProof/>
        </w:rPr>
        <w:t>[15]</w:t>
      </w:r>
      <w:r w:rsidR="00B473AB" w:rsidRPr="00B473AB">
        <w:fldChar w:fldCharType="end"/>
      </w:r>
      <w:r w:rsidRPr="0028520A">
        <w:t>.</w:t>
      </w:r>
      <w:r>
        <w:rPr>
          <w:vertAlign w:val="superscript"/>
        </w:rPr>
        <w:t xml:space="preserve"> </w:t>
      </w:r>
      <w:r w:rsidRPr="0020482B">
        <w:t>Thi</w:t>
      </w:r>
      <w:r>
        <w:t>s</w:t>
      </w:r>
      <w:r w:rsidRPr="0020482B">
        <w:t xml:space="preserve"> is presumably</w:t>
      </w:r>
      <w:r>
        <w:t xml:space="preserve"> due to the increased partitioning of oxygenated </w:t>
      </w:r>
      <w:r w:rsidR="00351241">
        <w:t xml:space="preserve">organic </w:t>
      </w:r>
      <w:r>
        <w:t>components into the oil phase.</w:t>
      </w:r>
      <w:r w:rsidRPr="0020482B">
        <w:t xml:space="preserve"> </w:t>
      </w:r>
    </w:p>
    <w:p w14:paraId="17E5BFAD" w14:textId="77777777" w:rsidR="0020482B" w:rsidRDefault="0020482B" w:rsidP="00B50382">
      <w:pPr>
        <w:keepNext/>
        <w:spacing w:line="480" w:lineRule="auto"/>
      </w:pPr>
      <w:r>
        <w:rPr>
          <w:noProof/>
          <w:lang w:eastAsia="en-GB"/>
        </w:rPr>
        <w:drawing>
          <wp:inline distT="0" distB="0" distL="0" distR="0" wp14:anchorId="41A32482" wp14:editId="214922D7">
            <wp:extent cx="2844000" cy="2448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F7051F" w14:textId="77777777" w:rsidR="0020482B" w:rsidRDefault="0020482B" w:rsidP="00B50382">
      <w:pPr>
        <w:keepNext/>
        <w:spacing w:line="480" w:lineRule="auto"/>
      </w:pPr>
      <w:r>
        <w:rPr>
          <w:noProof/>
          <w:lang w:eastAsia="en-GB"/>
        </w:rPr>
        <w:drawing>
          <wp:inline distT="0" distB="0" distL="0" distR="0" wp14:anchorId="1B92C645" wp14:editId="1BA8DF4E">
            <wp:extent cx="2875915" cy="2238375"/>
            <wp:effectExtent l="0" t="0" r="635"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8C55B9" w14:textId="77777777" w:rsidR="0020482B" w:rsidRDefault="0020482B" w:rsidP="00B50382">
      <w:pPr>
        <w:keepNext/>
        <w:spacing w:line="480" w:lineRule="auto"/>
      </w:pPr>
      <w:r>
        <w:rPr>
          <w:noProof/>
          <w:lang w:eastAsia="en-GB"/>
        </w:rPr>
        <w:drawing>
          <wp:inline distT="0" distB="0" distL="0" distR="0" wp14:anchorId="1BD4CDBF" wp14:editId="4DE5D920">
            <wp:extent cx="2875915" cy="2448000"/>
            <wp:effectExtent l="0" t="0" r="635"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C15D6C" w14:textId="456B230D" w:rsidR="0020482B" w:rsidRPr="005017ED" w:rsidRDefault="0020482B" w:rsidP="005017ED">
      <w:pPr>
        <w:spacing w:line="480" w:lineRule="auto"/>
        <w:jc w:val="center"/>
        <w:rPr>
          <w:i/>
          <w:sz w:val="20"/>
        </w:rPr>
      </w:pPr>
      <w:r w:rsidRPr="005017ED">
        <w:rPr>
          <w:i/>
          <w:sz w:val="20"/>
        </w:rPr>
        <w:t>Fig. 2 Bio-oil produced by hydrothermal liquefaction of Spirulina with additional metal sulfates,</w:t>
      </w:r>
      <w:r w:rsidR="00075272">
        <w:rPr>
          <w:i/>
          <w:sz w:val="20"/>
        </w:rPr>
        <w:t xml:space="preserve"> where</w:t>
      </w:r>
      <w:r w:rsidRPr="005017ED">
        <w:rPr>
          <w:i/>
          <w:sz w:val="20"/>
        </w:rPr>
        <w:t xml:space="preserve"> a) </w:t>
      </w:r>
      <w:r w:rsidR="00075272">
        <w:rPr>
          <w:i/>
          <w:sz w:val="20"/>
        </w:rPr>
        <w:t>total b</w:t>
      </w:r>
      <w:r w:rsidRPr="005017ED">
        <w:rPr>
          <w:i/>
          <w:sz w:val="20"/>
        </w:rPr>
        <w:t>io</w:t>
      </w:r>
      <w:r w:rsidR="00351241">
        <w:rPr>
          <w:i/>
          <w:sz w:val="20"/>
        </w:rPr>
        <w:t>-</w:t>
      </w:r>
      <w:r w:rsidRPr="005017ED">
        <w:rPr>
          <w:i/>
          <w:sz w:val="20"/>
        </w:rPr>
        <w:t>oil yields</w:t>
      </w:r>
      <w:r w:rsidR="006F60EF">
        <w:rPr>
          <w:i/>
          <w:sz w:val="20"/>
        </w:rPr>
        <w:t xml:space="preserve"> calculated as % of the original starting biomass (excluding additional metals)</w:t>
      </w:r>
      <w:r w:rsidRPr="005017ED">
        <w:rPr>
          <w:i/>
          <w:sz w:val="20"/>
        </w:rPr>
        <w:t xml:space="preserve">, b) </w:t>
      </w:r>
      <w:r w:rsidR="00075272">
        <w:rPr>
          <w:i/>
          <w:sz w:val="20"/>
        </w:rPr>
        <w:t>t</w:t>
      </w:r>
      <w:r w:rsidRPr="005017ED">
        <w:rPr>
          <w:i/>
          <w:sz w:val="20"/>
        </w:rPr>
        <w:t>otal N content in the bio oil and c)  The energy content of the bio</w:t>
      </w:r>
      <w:r w:rsidR="00351241">
        <w:rPr>
          <w:i/>
          <w:sz w:val="20"/>
        </w:rPr>
        <w:t>-</w:t>
      </w:r>
      <w:r w:rsidRPr="005017ED">
        <w:rPr>
          <w:i/>
          <w:sz w:val="20"/>
        </w:rPr>
        <w:t>oil</w:t>
      </w:r>
      <w:r w:rsidR="00BB3734">
        <w:rPr>
          <w:i/>
          <w:sz w:val="20"/>
        </w:rPr>
        <w:t>.</w:t>
      </w:r>
    </w:p>
    <w:p w14:paraId="3529A917" w14:textId="77777777" w:rsidR="003B3973" w:rsidRPr="003B3973" w:rsidRDefault="003B3973" w:rsidP="003B3973">
      <w:pPr>
        <w:spacing w:line="480" w:lineRule="auto"/>
        <w:jc w:val="both"/>
        <w:rPr>
          <w:b/>
        </w:rPr>
      </w:pPr>
      <w:r w:rsidRPr="003B3973">
        <w:rPr>
          <w:b/>
        </w:rPr>
        <w:t>3.1.</w:t>
      </w:r>
      <w:r>
        <w:rPr>
          <w:b/>
        </w:rPr>
        <w:t>2</w:t>
      </w:r>
      <w:r w:rsidRPr="003B3973">
        <w:rPr>
          <w:b/>
        </w:rPr>
        <w:t xml:space="preserve"> </w:t>
      </w:r>
      <w:r>
        <w:rPr>
          <w:b/>
        </w:rPr>
        <w:t>Assessment of the aqueous phase from the HTL of Spirulina and metal sulfates</w:t>
      </w:r>
    </w:p>
    <w:p w14:paraId="1A489B51" w14:textId="28093744" w:rsidR="00D66779" w:rsidRDefault="0020482B" w:rsidP="00B50382">
      <w:pPr>
        <w:keepNext/>
        <w:spacing w:line="480" w:lineRule="auto"/>
      </w:pPr>
      <w:r>
        <w:t>On processing of the algal biomass the light organic</w:t>
      </w:r>
      <w:r w:rsidR="00351241">
        <w:t xml:space="preserve"> compounds</w:t>
      </w:r>
      <w:r>
        <w:t xml:space="preserve"> and some alternative </w:t>
      </w:r>
      <w:r w:rsidR="00351241">
        <w:t xml:space="preserve">inorganic </w:t>
      </w:r>
      <w:r>
        <w:t xml:space="preserve">elements are deposited in the aqueous phase. To assess this residue, the </w:t>
      </w:r>
      <w:r w:rsidR="00BB3734">
        <w:t xml:space="preserve">aqueous phase was dried in an oven at 60 °C for 12 hours </w:t>
      </w:r>
      <w:r>
        <w:t>and the residue weighed (figure 3a).</w:t>
      </w:r>
      <w:r>
        <w:rPr>
          <w:i/>
        </w:rPr>
        <w:t xml:space="preserve"> </w:t>
      </w:r>
      <w:r>
        <w:t>T</w:t>
      </w:r>
      <w:r w:rsidRPr="00C9335D">
        <w:t xml:space="preserve">he organic residue in the aqueous phase was consistently </w:t>
      </w:r>
      <w:r w:rsidR="007E54D8">
        <w:t xml:space="preserve">reduced </w:t>
      </w:r>
      <w:r w:rsidRPr="00C9335D">
        <w:t>at</w:t>
      </w:r>
      <w:r>
        <w:t xml:space="preserve"> higher</w:t>
      </w:r>
      <w:r w:rsidRPr="00C9335D">
        <w:t xml:space="preserve"> processing temperatures, </w:t>
      </w:r>
      <w:r w:rsidR="00351241">
        <w:t xml:space="preserve">this organic material </w:t>
      </w:r>
      <w:r w:rsidR="00BB3734">
        <w:t>was</w:t>
      </w:r>
      <w:r w:rsidR="00351241">
        <w:t xml:space="preserve"> presumably p</w:t>
      </w:r>
      <w:r w:rsidR="00BB3734">
        <w:t>a</w:t>
      </w:r>
      <w:r w:rsidR="00351241">
        <w:t>rti</w:t>
      </w:r>
      <w:r w:rsidR="00BB3734">
        <w:t>ti</w:t>
      </w:r>
      <w:r w:rsidR="00351241">
        <w:t xml:space="preserve">oning into the bio-oil phase and </w:t>
      </w:r>
      <w:r w:rsidR="007E54D8">
        <w:t xml:space="preserve">correlates </w:t>
      </w:r>
      <w:r w:rsidRPr="00C9335D">
        <w:t>with t</w:t>
      </w:r>
      <w:r>
        <w:t xml:space="preserve">he increasing bio-oil yields. </w:t>
      </w:r>
      <w:r w:rsidR="009F6BFA">
        <w:t>Recycling of algal nutrients (</w:t>
      </w:r>
      <w:r w:rsidR="003B3973">
        <w:t xml:space="preserve">such as </w:t>
      </w:r>
      <w:r w:rsidR="009F6BFA">
        <w:t>N, P, K, Fe)</w:t>
      </w:r>
      <w:r w:rsidR="003B3973">
        <w:t xml:space="preserve"> </w:t>
      </w:r>
      <w:r w:rsidR="007E54D8">
        <w:t xml:space="preserve">would be </w:t>
      </w:r>
      <w:r w:rsidR="009F6BFA">
        <w:t xml:space="preserve">required for </w:t>
      </w:r>
      <w:r w:rsidR="003B3973">
        <w:t xml:space="preserve">an </w:t>
      </w:r>
      <w:r w:rsidR="009F6BFA">
        <w:t>economically viable</w:t>
      </w:r>
      <w:r w:rsidRPr="00C9335D">
        <w:t xml:space="preserve"> algal biorefinery. </w:t>
      </w:r>
      <w:r w:rsidR="003B3973">
        <w:t>While the AMD provide</w:t>
      </w:r>
      <w:r w:rsidR="00BB3734">
        <w:t>s</w:t>
      </w:r>
      <w:r w:rsidR="003B3973">
        <w:t xml:space="preserve"> most metallic species</w:t>
      </w:r>
      <w:r w:rsidR="007E54D8">
        <w:t xml:space="preserve"> in abundance</w:t>
      </w:r>
      <w:r w:rsidR="003B3973">
        <w:t xml:space="preserve">, AMD is generally phosphate and nitrogen limited. </w:t>
      </w:r>
      <w:r w:rsidRPr="00C9335D">
        <w:t>The total N, NH</w:t>
      </w:r>
      <w:r w:rsidRPr="003373C2">
        <w:rPr>
          <w:vertAlign w:val="subscript"/>
        </w:rPr>
        <w:t>4</w:t>
      </w:r>
      <w:r w:rsidRPr="003373C2">
        <w:rPr>
          <w:vertAlign w:val="superscript"/>
        </w:rPr>
        <w:t>+</w:t>
      </w:r>
      <w:r w:rsidRPr="00C9335D">
        <w:t xml:space="preserve"> and phosphate content of the aqueous phase samples w</w:t>
      </w:r>
      <w:r>
        <w:t>ere</w:t>
      </w:r>
      <w:r w:rsidRPr="00C9335D">
        <w:t xml:space="preserve"> </w:t>
      </w:r>
      <w:r>
        <w:t xml:space="preserve">therefore </w:t>
      </w:r>
      <w:r w:rsidR="000A111A">
        <w:t>examined</w:t>
      </w:r>
      <w:r>
        <w:t xml:space="preserve"> (figure 3b)</w:t>
      </w:r>
      <w:r w:rsidRPr="00C9335D">
        <w:t xml:space="preserve">. </w:t>
      </w:r>
      <w:r>
        <w:t>N</w:t>
      </w:r>
      <w:r w:rsidRPr="00C9335D">
        <w:t xml:space="preserve">utrient partitioning into the aqueous phase was influenced both by the reaction conditions and </w:t>
      </w:r>
      <w:r>
        <w:t xml:space="preserve">the levels of </w:t>
      </w:r>
      <w:r w:rsidRPr="00C9335D">
        <w:t>metal</w:t>
      </w:r>
      <w:r>
        <w:t xml:space="preserve"> in the sample</w:t>
      </w:r>
      <w:r w:rsidR="003B3973">
        <w:t>. The total nitrogen</w:t>
      </w:r>
      <w:r w:rsidRPr="00C9335D">
        <w:t xml:space="preserve"> </w:t>
      </w:r>
      <w:r w:rsidR="003B3973">
        <w:t>content in the aqueous phase</w:t>
      </w:r>
      <w:r w:rsidR="00D66779">
        <w:t xml:space="preserve"> was simi</w:t>
      </w:r>
      <w:r w:rsidR="006F60EF">
        <w:t>lar irrespective of temperature</w:t>
      </w:r>
      <w:r w:rsidR="003B3973">
        <w:t xml:space="preserve"> </w:t>
      </w:r>
      <w:r w:rsidR="00D66779">
        <w:t xml:space="preserve">though </w:t>
      </w:r>
      <w:r w:rsidRPr="00C9335D">
        <w:t xml:space="preserve">higher processing temperatures </w:t>
      </w:r>
      <w:r w:rsidR="00D66779">
        <w:t>increased the total amount of</w:t>
      </w:r>
      <w:r w:rsidRPr="00C9335D">
        <w:t xml:space="preserve"> NH</w:t>
      </w:r>
      <w:r w:rsidRPr="003373C2">
        <w:rPr>
          <w:vertAlign w:val="subscript"/>
        </w:rPr>
        <w:t>4</w:t>
      </w:r>
      <w:r w:rsidRPr="003373C2">
        <w:rPr>
          <w:vertAlign w:val="superscript"/>
        </w:rPr>
        <w:t>+</w:t>
      </w:r>
      <w:r w:rsidRPr="00C9335D">
        <w:t xml:space="preserve"> </w:t>
      </w:r>
      <w:r>
        <w:t>slightly.</w:t>
      </w:r>
      <w:r w:rsidR="00D66779">
        <w:t xml:space="preserve"> A high level of N was retained in the aqueous phase irrespective of metal loading and could be used as a useful source of NH</w:t>
      </w:r>
      <w:r w:rsidR="00D66779" w:rsidRPr="00D66779">
        <w:rPr>
          <w:vertAlign w:val="subscript"/>
        </w:rPr>
        <w:t>4</w:t>
      </w:r>
      <w:r w:rsidR="00D66779" w:rsidRPr="00D66779">
        <w:rPr>
          <w:vertAlign w:val="superscript"/>
        </w:rPr>
        <w:t>+</w:t>
      </w:r>
      <w:r w:rsidR="00D66779">
        <w:t xml:space="preserve"> for nitrogen limited AMD.</w:t>
      </w:r>
      <w:r w:rsidRPr="00C9335D">
        <w:t xml:space="preserve"> </w:t>
      </w:r>
    </w:p>
    <w:p w14:paraId="6E7B4299" w14:textId="029DFA5F" w:rsidR="0020482B" w:rsidRPr="00BB3734" w:rsidRDefault="00D66779" w:rsidP="00B50382">
      <w:pPr>
        <w:keepNext/>
        <w:spacing w:line="480" w:lineRule="auto"/>
      </w:pPr>
      <w:r>
        <w:t>Reasonable</w:t>
      </w:r>
      <w:r w:rsidR="0020482B" w:rsidRPr="00C9335D">
        <w:t xml:space="preserve"> partitioning of phosphorus into the aqueous phase </w:t>
      </w:r>
      <w:r>
        <w:t xml:space="preserve">also </w:t>
      </w:r>
      <w:r w:rsidR="0020482B" w:rsidRPr="00C9335D">
        <w:t xml:space="preserve">occurred </w:t>
      </w:r>
      <w:r>
        <w:t>and was stable irrespective of the temperature employed</w:t>
      </w:r>
      <w:r w:rsidR="009F42EB">
        <w:t>. However, while up to 1920 mg l</w:t>
      </w:r>
      <w:r w:rsidRPr="00D66779">
        <w:rPr>
          <w:vertAlign w:val="superscript"/>
        </w:rPr>
        <w:t>-1</w:t>
      </w:r>
      <w:r>
        <w:t xml:space="preserve"> of P was observed at the low metal loadings, </w:t>
      </w:r>
      <w:r w:rsidR="0020482B" w:rsidRPr="00C9335D">
        <w:t xml:space="preserve">on addition of </w:t>
      </w:r>
      <w:r>
        <w:t xml:space="preserve">high levels of </w:t>
      </w:r>
      <w:r w:rsidR="0020482B" w:rsidRPr="00C9335D">
        <w:t>metals to the system the phosphate levels detected in the aqueous phase dropped dramatically.</w:t>
      </w:r>
      <w:r>
        <w:t xml:space="preserve"> At the highest metal loading, </w:t>
      </w:r>
      <w:r w:rsidRPr="00D66779">
        <w:t>22,855</w:t>
      </w:r>
      <w:r>
        <w:t xml:space="preserve"> mg</w:t>
      </w:r>
      <w:r w:rsidR="0020482B" w:rsidRPr="00C9335D">
        <w:t xml:space="preserve"> </w:t>
      </w:r>
      <w:r w:rsidR="009F42EB">
        <w:t>l</w:t>
      </w:r>
      <w:r w:rsidR="0020482B" w:rsidRPr="003373C2">
        <w:rPr>
          <w:vertAlign w:val="superscript"/>
        </w:rPr>
        <w:t>-1</w:t>
      </w:r>
      <w:r w:rsidR="0020482B" w:rsidRPr="00C9335D">
        <w:t xml:space="preserve"> </w:t>
      </w:r>
      <w:r>
        <w:t xml:space="preserve">of </w:t>
      </w:r>
      <w:r w:rsidR="0020482B" w:rsidRPr="00C9335D">
        <w:t>total metals, phosphate levels in the aq</w:t>
      </w:r>
      <w:r w:rsidR="009F42EB">
        <w:t>ueous phase dropped to 13.9 mg l</w:t>
      </w:r>
      <w:r w:rsidR="0020482B" w:rsidRPr="003373C2">
        <w:rPr>
          <w:vertAlign w:val="superscript"/>
        </w:rPr>
        <w:t>-1</w:t>
      </w:r>
      <w:r w:rsidR="0020482B" w:rsidRPr="00C9335D">
        <w:t xml:space="preserve">, from </w:t>
      </w:r>
      <w:r w:rsidR="009F42EB">
        <w:t>1860 mg l</w:t>
      </w:r>
      <w:r w:rsidR="0020482B" w:rsidRPr="00D66779">
        <w:rPr>
          <w:vertAlign w:val="superscript"/>
        </w:rPr>
        <w:t>-1</w:t>
      </w:r>
      <w:r w:rsidR="0020482B" w:rsidRPr="00C9335D">
        <w:t xml:space="preserve"> in the aqueous phase from processing of pure </w:t>
      </w:r>
      <w:r w:rsidR="0020482B" w:rsidRPr="00BB3734">
        <w:t>Spirulina.</w:t>
      </w:r>
    </w:p>
    <w:p w14:paraId="09B6CF10" w14:textId="4FB2C67B" w:rsidR="0020482B" w:rsidRPr="00C9335D" w:rsidRDefault="00D66779" w:rsidP="00B50382">
      <w:pPr>
        <w:keepNext/>
        <w:spacing w:line="480" w:lineRule="auto"/>
      </w:pPr>
      <w:r>
        <w:t>The</w:t>
      </w:r>
      <w:r w:rsidR="0020482B" w:rsidRPr="00C9335D">
        <w:t xml:space="preserve"> </w:t>
      </w:r>
      <w:r w:rsidR="009F6BFA">
        <w:t>limitation of aqueous P conce</w:t>
      </w:r>
      <w:r>
        <w:t>n</w:t>
      </w:r>
      <w:r w:rsidR="009F6BFA">
        <w:t xml:space="preserve">trations </w:t>
      </w:r>
      <w:r>
        <w:t xml:space="preserve">is potentially due to the </w:t>
      </w:r>
      <w:r w:rsidR="0020482B" w:rsidRPr="00C9335D">
        <w:t>formation o</w:t>
      </w:r>
      <w:r w:rsidR="0020482B">
        <w:t xml:space="preserve">f </w:t>
      </w:r>
      <w:r>
        <w:t xml:space="preserve">insoluble </w:t>
      </w:r>
      <w:r w:rsidR="0020482B">
        <w:t>metal phosphates</w:t>
      </w:r>
      <w:r w:rsidR="009F6BFA">
        <w:t xml:space="preserve"> (particularly iron and zinc phosphates)</w:t>
      </w:r>
      <w:r>
        <w:t xml:space="preserve"> and their partitioning into the </w:t>
      </w:r>
      <w:r w:rsidR="005651AD">
        <w:t>solid residue</w:t>
      </w:r>
      <w:r w:rsidR="0020482B" w:rsidRPr="00C9335D">
        <w:t xml:space="preserve">. </w:t>
      </w:r>
      <w:r w:rsidR="0013330E">
        <w:t>Despite additional metals being in excess, small levels of</w:t>
      </w:r>
      <w:r>
        <w:t xml:space="preserve"> </w:t>
      </w:r>
      <w:r w:rsidR="0020482B">
        <w:t xml:space="preserve">phosphate </w:t>
      </w:r>
      <w:r w:rsidR="0013330E">
        <w:t xml:space="preserve">(up to 15 mg </w:t>
      </w:r>
      <w:r w:rsidR="009F42EB">
        <w:t>l</w:t>
      </w:r>
      <w:r w:rsidR="0013330E" w:rsidRPr="0013330E">
        <w:rPr>
          <w:vertAlign w:val="superscript"/>
        </w:rPr>
        <w:t>-1</w:t>
      </w:r>
      <w:r w:rsidR="0013330E">
        <w:t xml:space="preserve">) </w:t>
      </w:r>
      <w:r w:rsidR="0020482B" w:rsidRPr="00C9335D">
        <w:t>w</w:t>
      </w:r>
      <w:r w:rsidR="0013330E">
        <w:t>ere</w:t>
      </w:r>
      <w:r w:rsidR="0020482B" w:rsidRPr="00C9335D">
        <w:t xml:space="preserve"> still detected in </w:t>
      </w:r>
      <w:r w:rsidR="0013330E">
        <w:t xml:space="preserve">the aqueous residue. </w:t>
      </w:r>
      <w:r w:rsidR="0020482B" w:rsidRPr="00C9335D">
        <w:t xml:space="preserve">Zinc, however, was a notable exception to this. The aqueous phase from a sample processed with </w:t>
      </w:r>
      <w:r w:rsidR="0013330E">
        <w:t>5820</w:t>
      </w:r>
      <w:r w:rsidR="0020482B" w:rsidRPr="00C9335D">
        <w:t xml:space="preserve"> </w:t>
      </w:r>
      <w:r w:rsidR="0013330E">
        <w:t>mg</w:t>
      </w:r>
      <w:r w:rsidR="0020482B" w:rsidRPr="00C9335D">
        <w:t xml:space="preserve"> </w:t>
      </w:r>
      <w:r w:rsidR="009F42EB">
        <w:t>l</w:t>
      </w:r>
      <w:r w:rsidR="0020482B" w:rsidRPr="003373C2">
        <w:rPr>
          <w:vertAlign w:val="superscript"/>
        </w:rPr>
        <w:t>-1</w:t>
      </w:r>
      <w:r w:rsidR="0020482B" w:rsidRPr="00C9335D">
        <w:t xml:space="preserve"> Zn </w:t>
      </w:r>
      <w:r w:rsidR="0013330E">
        <w:t xml:space="preserve">still contained </w:t>
      </w:r>
      <w:r w:rsidR="0020482B" w:rsidRPr="00C9335D">
        <w:t xml:space="preserve">460 mg </w:t>
      </w:r>
      <w:r w:rsidR="009F42EB">
        <w:t>l</w:t>
      </w:r>
      <w:r w:rsidR="0020482B" w:rsidRPr="003373C2">
        <w:rPr>
          <w:vertAlign w:val="superscript"/>
        </w:rPr>
        <w:t>-1</w:t>
      </w:r>
      <w:r w:rsidR="0020482B" w:rsidRPr="00C9335D">
        <w:t xml:space="preserve"> </w:t>
      </w:r>
      <w:r w:rsidR="0013330E">
        <w:t xml:space="preserve">of </w:t>
      </w:r>
      <w:r w:rsidR="0020482B" w:rsidRPr="00C9335D">
        <w:t xml:space="preserve">phosphate </w:t>
      </w:r>
      <w:r w:rsidR="0013330E">
        <w:t>when</w:t>
      </w:r>
      <w:r w:rsidR="0020482B" w:rsidRPr="00C9335D">
        <w:t xml:space="preserve"> process</w:t>
      </w:r>
      <w:r w:rsidR="0013330E">
        <w:t>ed</w:t>
      </w:r>
      <w:r w:rsidR="0020482B" w:rsidRPr="00C9335D">
        <w:t xml:space="preserve"> at 310 °C, and 720 mg </w:t>
      </w:r>
      <w:r w:rsidR="009F42EB">
        <w:t>l</w:t>
      </w:r>
      <w:r w:rsidR="0020482B" w:rsidRPr="003373C2">
        <w:rPr>
          <w:vertAlign w:val="superscript"/>
        </w:rPr>
        <w:t>-1</w:t>
      </w:r>
      <w:r w:rsidR="0020482B" w:rsidRPr="00C9335D">
        <w:t xml:space="preserve"> when processed at 350 °C.</w:t>
      </w:r>
    </w:p>
    <w:p w14:paraId="45324672" w14:textId="581F70A0" w:rsidR="0013330E" w:rsidRDefault="0020482B" w:rsidP="00B50382">
      <w:pPr>
        <w:keepNext/>
        <w:spacing w:line="480" w:lineRule="auto"/>
      </w:pPr>
      <w:r>
        <w:t>Only t</w:t>
      </w:r>
      <w:r w:rsidRPr="00C9335D">
        <w:t xml:space="preserve">race levels of Sn and Pb were detected in </w:t>
      </w:r>
      <w:r w:rsidR="0013330E">
        <w:t xml:space="preserve">the aqueous phase of the </w:t>
      </w:r>
      <w:r w:rsidRPr="00C9335D">
        <w:t xml:space="preserve">water from </w:t>
      </w:r>
      <w:r w:rsidR="0013330E">
        <w:t xml:space="preserve">the HTL processing of </w:t>
      </w:r>
      <w:r w:rsidRPr="00C9335D">
        <w:t xml:space="preserve">pure Spirulina, and </w:t>
      </w:r>
      <w:r>
        <w:t>did not increase with the</w:t>
      </w:r>
      <w:r w:rsidRPr="00C9335D">
        <w:t xml:space="preserve"> addition of extra</w:t>
      </w:r>
      <w:r w:rsidR="0013330E">
        <w:t xml:space="preserve"> </w:t>
      </w:r>
      <w:r>
        <w:t xml:space="preserve">Sn or Pb </w:t>
      </w:r>
      <w:r w:rsidR="00930EBC">
        <w:t xml:space="preserve">sulfate </w:t>
      </w:r>
      <w:r>
        <w:t>to the system.</w:t>
      </w:r>
      <w:r w:rsidRPr="00C9335D">
        <w:t xml:space="preserve"> </w:t>
      </w:r>
      <w:r>
        <w:t>A</w:t>
      </w:r>
      <w:r w:rsidRPr="00C9335D">
        <w:t xml:space="preserve">t </w:t>
      </w:r>
      <w:r>
        <w:t xml:space="preserve">the </w:t>
      </w:r>
      <w:r w:rsidRPr="00C9335D">
        <w:t>levels</w:t>
      </w:r>
      <w:r>
        <w:t xml:space="preserve"> examined </w:t>
      </w:r>
      <w:r w:rsidRPr="00C9335D">
        <w:t xml:space="preserve">Sn and Pb partition </w:t>
      </w:r>
      <w:r>
        <w:t xml:space="preserve">almost </w:t>
      </w:r>
      <w:r w:rsidRPr="00C9335D">
        <w:t xml:space="preserve">entirely </w:t>
      </w:r>
      <w:r w:rsidR="00930EBC">
        <w:t>out of the aqueous phase</w:t>
      </w:r>
      <w:r>
        <w:t xml:space="preserve">, </w:t>
      </w:r>
      <w:r w:rsidR="0013330E">
        <w:t xml:space="preserve">demonstrating that </w:t>
      </w:r>
      <w:r>
        <w:t xml:space="preserve">HTL is a suitable processing method that </w:t>
      </w:r>
      <w:r w:rsidR="0013330E">
        <w:t xml:space="preserve">partitions these contaminants into the solid residue allowing the aqueous phase to be recycled. </w:t>
      </w:r>
    </w:p>
    <w:p w14:paraId="34C54EA5" w14:textId="62271675" w:rsidR="0020482B" w:rsidRPr="00C9335D" w:rsidRDefault="0020482B" w:rsidP="00B50382">
      <w:pPr>
        <w:keepNext/>
        <w:spacing w:line="480" w:lineRule="auto"/>
      </w:pPr>
      <w:r>
        <w:t>Only trace levels of Fe, Zn and Mg were observed in the aqueous ph</w:t>
      </w:r>
      <w:r w:rsidR="00930EBC">
        <w:t>ase at the low uptake scenario. In the high uptake scenario</w:t>
      </w:r>
      <w:r w:rsidRPr="00C9335D">
        <w:t>, some partitioning into the aqueous phase was observed</w:t>
      </w:r>
      <w:r>
        <w:t xml:space="preserve"> (figure 3d)</w:t>
      </w:r>
      <w:r w:rsidRPr="00C9335D">
        <w:t xml:space="preserve">. Fe, present in the reaction at a concentration of ca. 14,000 mg </w:t>
      </w:r>
      <w:r w:rsidR="009F42EB">
        <w:t>l</w:t>
      </w:r>
      <w:r w:rsidRPr="003373C2">
        <w:rPr>
          <w:vertAlign w:val="superscript"/>
        </w:rPr>
        <w:t>-1</w:t>
      </w:r>
      <w:r w:rsidRPr="00C9335D">
        <w:t xml:space="preserve">, partitioned almost entirely </w:t>
      </w:r>
      <w:r>
        <w:t>out of the aqueous phase</w:t>
      </w:r>
      <w:r w:rsidRPr="00C9335D">
        <w:t xml:space="preserve">. </w:t>
      </w:r>
      <w:r w:rsidR="00930EBC">
        <w:t xml:space="preserve">Less than 5% of the Zn added to the system partitioned into the aqueous phase, though </w:t>
      </w:r>
      <w:r w:rsidRPr="00C9335D">
        <w:t xml:space="preserve">37–39 % </w:t>
      </w:r>
      <w:r w:rsidR="00DE08F6">
        <w:t xml:space="preserve">Mg </w:t>
      </w:r>
      <w:r w:rsidRPr="00C9335D">
        <w:t>partition</w:t>
      </w:r>
      <w:r w:rsidR="00DE08F6">
        <w:t>ed</w:t>
      </w:r>
      <w:r w:rsidRPr="00C9335D">
        <w:t xml:space="preserve"> into the aqueous pha</w:t>
      </w:r>
      <w:r>
        <w:t>se in the presence of Fe and Zn. T</w:t>
      </w:r>
      <w:r w:rsidRPr="00C9335D">
        <w:t>he high recovery of Mg in the aqueous phase</w:t>
      </w:r>
      <w:r>
        <w:t xml:space="preserve"> could be beneficial, as</w:t>
      </w:r>
      <w:r w:rsidRPr="00C9335D">
        <w:t xml:space="preserve"> a lack of micro/macronutrients such as Mg </w:t>
      </w:r>
      <w:r>
        <w:t>has been shown to be a</w:t>
      </w:r>
      <w:r w:rsidRPr="00C9335D">
        <w:t xml:space="preserve"> major contributing factor in the reduction of algal growth on HTL process water</w:t>
      </w:r>
      <w:r w:rsidR="00157531">
        <w:t xml:space="preserve"> </w:t>
      </w:r>
      <w:r w:rsidR="00157531">
        <w:fldChar w:fldCharType="begin"/>
      </w:r>
      <w:r w:rsidR="00E7405E">
        <w:instrText xml:space="preserve"> ADDIN EN.CITE &lt;EndNote&gt;&lt;Cite&gt;&lt;Author&gt;Alba&lt;/Author&gt;&lt;Year&gt;2013&lt;/Year&gt;&lt;RecNum&gt;985&lt;/RecNum&gt;&lt;DisplayText&gt;[34]&lt;/DisplayText&gt;&lt;record&gt;&lt;rec-number&gt;985&lt;/rec-number&gt;&lt;foreign-keys&gt;&lt;key app="EN" db-id="fa5pvx0a352spiedf5tvff5409zrwa0zxvsd"&gt;985&lt;/key&gt;&lt;/foreign-keys&gt;&lt;ref-type name="Journal Article"&gt;17&lt;/ref-type&gt;&lt;contributors&gt;&lt;authors&gt;&lt;author&gt;Alba, Laura Garcia&lt;/author&gt;&lt;author&gt;Torri, Cristian&lt;/author&gt;&lt;author&gt;Fabbri, Daniele&lt;/author&gt;&lt;author&gt;Kersten, Sascha RA&lt;/author&gt;&lt;author&gt;Brilman, Derk WF Wim&lt;/author&gt;&lt;/authors&gt;&lt;/contributors&gt;&lt;titles&gt;&lt;title&gt;Microalgae growth on the aqueous phase from hydrothermal liquefaction of the same microalgae&lt;/title&gt;&lt;secondary-title&gt;Chemical engineering journal&lt;/secondary-title&gt;&lt;/titles&gt;&lt;periodical&gt;&lt;full-title&gt;Chemical Engineering Journal&lt;/full-title&gt;&lt;/periodical&gt;&lt;pages&gt;214-223&lt;/pages&gt;&lt;volume&gt;228&lt;/volume&gt;&lt;dates&gt;&lt;year&gt;2013&lt;/year&gt;&lt;/dates&gt;&lt;isbn&gt;1385-8947&lt;/isbn&gt;&lt;urls&gt;&lt;/urls&gt;&lt;/record&gt;&lt;/Cite&gt;&lt;/EndNote&gt;</w:instrText>
      </w:r>
      <w:r w:rsidR="00157531">
        <w:fldChar w:fldCharType="separate"/>
      </w:r>
      <w:r w:rsidR="00E7405E">
        <w:rPr>
          <w:noProof/>
        </w:rPr>
        <w:t>[34]</w:t>
      </w:r>
      <w:r w:rsidR="00157531">
        <w:fldChar w:fldCharType="end"/>
      </w:r>
      <w:r w:rsidR="00157531">
        <w:t>.</w:t>
      </w:r>
      <w:r w:rsidRPr="00C9335D">
        <w:t xml:space="preserve"> </w:t>
      </w:r>
    </w:p>
    <w:p w14:paraId="1066D182" w14:textId="77777777" w:rsidR="0020482B" w:rsidRPr="00823FA3" w:rsidRDefault="0020482B" w:rsidP="00B50382">
      <w:pPr>
        <w:spacing w:line="480" w:lineRule="auto"/>
        <w:jc w:val="both"/>
        <w:rPr>
          <w:rFonts w:ascii="Calibri" w:hAnsi="Calibri"/>
          <w:noProof/>
        </w:rPr>
      </w:pPr>
    </w:p>
    <w:p w14:paraId="5380193B" w14:textId="77777777" w:rsidR="0020482B" w:rsidRDefault="0020482B" w:rsidP="00B50382">
      <w:pPr>
        <w:spacing w:line="480" w:lineRule="auto"/>
      </w:pPr>
    </w:p>
    <w:p w14:paraId="7454BE54" w14:textId="77777777" w:rsidR="0020482B" w:rsidRDefault="0020482B" w:rsidP="00B50382">
      <w:pPr>
        <w:spacing w:line="480" w:lineRule="auto"/>
        <w:rPr>
          <w:b/>
          <w:sz w:val="28"/>
        </w:rPr>
      </w:pPr>
      <w:r>
        <w:rPr>
          <w:b/>
          <w:sz w:val="28"/>
        </w:rPr>
        <w:br w:type="page"/>
      </w:r>
    </w:p>
    <w:p w14:paraId="72168ACF" w14:textId="77777777" w:rsidR="0020482B" w:rsidRDefault="0020482B" w:rsidP="00B50382">
      <w:pPr>
        <w:spacing w:line="480" w:lineRule="auto"/>
      </w:pPr>
      <w:r>
        <w:rPr>
          <w:noProof/>
          <w:lang w:eastAsia="en-GB"/>
        </w:rPr>
        <w:drawing>
          <wp:inline distT="0" distB="0" distL="0" distR="0" wp14:anchorId="05C77812" wp14:editId="5055FD0A">
            <wp:extent cx="2844000" cy="25200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eastAsia="en-GB"/>
        </w:rPr>
        <w:drawing>
          <wp:inline distT="0" distB="0" distL="0" distR="0" wp14:anchorId="0DD952CF" wp14:editId="654A916F">
            <wp:extent cx="2869073" cy="2520000"/>
            <wp:effectExtent l="0" t="0" r="762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D80F6C" w14:textId="77777777" w:rsidR="0020482B" w:rsidRDefault="0020482B" w:rsidP="00B50382">
      <w:pPr>
        <w:spacing w:line="480" w:lineRule="auto"/>
      </w:pPr>
      <w:r>
        <w:rPr>
          <w:noProof/>
          <w:lang w:eastAsia="en-GB"/>
        </w:rPr>
        <w:drawing>
          <wp:inline distT="0" distB="0" distL="0" distR="0" wp14:anchorId="78BA3F0A" wp14:editId="1C115C2B">
            <wp:extent cx="2847975" cy="251968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eastAsia="en-GB"/>
        </w:rPr>
        <w:drawing>
          <wp:inline distT="0" distB="0" distL="0" distR="0" wp14:anchorId="6109A912" wp14:editId="4AA8145F">
            <wp:extent cx="2876400" cy="2520000"/>
            <wp:effectExtent l="0" t="0" r="635"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D4958D" w14:textId="4DC61FD4" w:rsidR="0020482B" w:rsidRPr="005017ED" w:rsidRDefault="0020482B" w:rsidP="005017ED">
      <w:pPr>
        <w:spacing w:line="480" w:lineRule="auto"/>
        <w:jc w:val="center"/>
        <w:rPr>
          <w:i/>
          <w:sz w:val="20"/>
        </w:rPr>
      </w:pPr>
      <w:r w:rsidRPr="005017ED">
        <w:rPr>
          <w:i/>
          <w:sz w:val="20"/>
        </w:rPr>
        <w:t>Fig. 3 Analysis of the aqueous phase produced by hydrothermal liquefaction of Spirulina with additional metal sulfates where a) is the yield of residue on removal of the water, b) is the total N content in the water phase, the grey shaded area represents the amount of nitrogen present as NH</w:t>
      </w:r>
      <w:r w:rsidRPr="005017ED">
        <w:rPr>
          <w:i/>
          <w:sz w:val="20"/>
          <w:vertAlign w:val="subscript"/>
        </w:rPr>
        <w:t>4</w:t>
      </w:r>
      <w:r w:rsidRPr="005017ED">
        <w:rPr>
          <w:i/>
          <w:sz w:val="20"/>
          <w:vertAlign w:val="superscript"/>
        </w:rPr>
        <w:t>+</w:t>
      </w:r>
      <w:r w:rsidRPr="005017ED">
        <w:rPr>
          <w:i/>
          <w:sz w:val="20"/>
        </w:rPr>
        <w:t xml:space="preserve"> c) is the total phosphate content in the aqueous phase and d) gives the </w:t>
      </w:r>
      <w:r w:rsidR="00842B2C">
        <w:rPr>
          <w:i/>
          <w:sz w:val="20"/>
        </w:rPr>
        <w:t xml:space="preserve">level </w:t>
      </w:r>
      <w:r w:rsidRPr="005017ED">
        <w:rPr>
          <w:i/>
          <w:sz w:val="20"/>
        </w:rPr>
        <w:t xml:space="preserve">of metals </w:t>
      </w:r>
      <w:r w:rsidR="00842B2C">
        <w:rPr>
          <w:i/>
          <w:sz w:val="20"/>
        </w:rPr>
        <w:t xml:space="preserve">present </w:t>
      </w:r>
      <w:r w:rsidRPr="005017ED">
        <w:rPr>
          <w:i/>
          <w:sz w:val="20"/>
        </w:rPr>
        <w:t xml:space="preserve">in the </w:t>
      </w:r>
      <w:r w:rsidR="00842B2C">
        <w:rPr>
          <w:i/>
          <w:sz w:val="20"/>
        </w:rPr>
        <w:t>aqueous</w:t>
      </w:r>
      <w:r w:rsidRPr="005017ED">
        <w:rPr>
          <w:i/>
          <w:sz w:val="20"/>
        </w:rPr>
        <w:t xml:space="preserve"> phase on HTL of the</w:t>
      </w:r>
      <w:r w:rsidR="00842B2C">
        <w:rPr>
          <w:i/>
          <w:sz w:val="20"/>
        </w:rPr>
        <w:t xml:space="preserve"> combined</w:t>
      </w:r>
      <w:r w:rsidRPr="005017ED">
        <w:rPr>
          <w:i/>
          <w:sz w:val="20"/>
        </w:rPr>
        <w:t xml:space="preserve"> Mg, Zn, Fe (high uptake) sample</w:t>
      </w:r>
      <w:r w:rsidR="00842B2C">
        <w:rPr>
          <w:i/>
          <w:sz w:val="20"/>
        </w:rPr>
        <w:t xml:space="preserve"> </w:t>
      </w:r>
      <w:r w:rsidR="009F42EB">
        <w:rPr>
          <w:i/>
          <w:sz w:val="20"/>
        </w:rPr>
        <w:t>(total metal content 22,855 mg l</w:t>
      </w:r>
      <w:r w:rsidR="00842B2C" w:rsidRPr="00842B2C">
        <w:rPr>
          <w:i/>
          <w:sz w:val="20"/>
          <w:vertAlign w:val="superscript"/>
        </w:rPr>
        <w:t>-1</w:t>
      </w:r>
      <w:r w:rsidR="00842B2C">
        <w:rPr>
          <w:i/>
          <w:sz w:val="20"/>
        </w:rPr>
        <w:t>)</w:t>
      </w:r>
      <w:r w:rsidRPr="005017ED">
        <w:rPr>
          <w:i/>
          <w:sz w:val="20"/>
        </w:rPr>
        <w:t>.</w:t>
      </w:r>
    </w:p>
    <w:p w14:paraId="727A0A9A" w14:textId="63A831FE" w:rsidR="00842B2C" w:rsidRPr="003B3973" w:rsidRDefault="00842B2C" w:rsidP="00842B2C">
      <w:pPr>
        <w:spacing w:line="480" w:lineRule="auto"/>
        <w:jc w:val="both"/>
        <w:rPr>
          <w:b/>
        </w:rPr>
      </w:pPr>
      <w:r w:rsidRPr="003B3973">
        <w:rPr>
          <w:b/>
        </w:rPr>
        <w:t>3.1.</w:t>
      </w:r>
      <w:r w:rsidR="00DA2C71">
        <w:rPr>
          <w:b/>
        </w:rPr>
        <w:t>3</w:t>
      </w:r>
      <w:r w:rsidRPr="003B3973">
        <w:rPr>
          <w:b/>
        </w:rPr>
        <w:t xml:space="preserve"> </w:t>
      </w:r>
      <w:r w:rsidR="00263469">
        <w:rPr>
          <w:b/>
        </w:rPr>
        <w:t>Effect of metal sulfates on the g</w:t>
      </w:r>
      <w:r>
        <w:rPr>
          <w:b/>
        </w:rPr>
        <w:t xml:space="preserve">as phase produced from the HTL of Spirulina </w:t>
      </w:r>
    </w:p>
    <w:p w14:paraId="4EF5A19E" w14:textId="1E7574FD" w:rsidR="0020482B" w:rsidRDefault="0020482B" w:rsidP="00BB3734">
      <w:pPr>
        <w:spacing w:line="480" w:lineRule="auto"/>
        <w:jc w:val="both"/>
      </w:pPr>
      <w:r>
        <w:t xml:space="preserve">Gas yields of around </w:t>
      </w:r>
      <w:r w:rsidR="00DA214D">
        <w:t>7.3-16.2</w:t>
      </w:r>
      <w:r>
        <w:t xml:space="preserve"> % were obtained for all samples (table 3), gas yields</w:t>
      </w:r>
      <w:r w:rsidR="00DB4585">
        <w:t xml:space="preserve"> generally</w:t>
      </w:r>
      <w:r>
        <w:t xml:space="preserve"> increase</w:t>
      </w:r>
      <w:r w:rsidR="009A07E5">
        <w:t>d</w:t>
      </w:r>
      <w:r>
        <w:t xml:space="preserve"> with increased temperature and </w:t>
      </w:r>
      <w:r w:rsidR="00842B2C">
        <w:t xml:space="preserve">were found to be </w:t>
      </w:r>
      <w:r>
        <w:t>higher in the presence of metal loadings</w:t>
      </w:r>
      <w:r w:rsidR="00C80887">
        <w:t xml:space="preserve"> and particularly</w:t>
      </w:r>
      <w:r w:rsidR="00DB4585">
        <w:t xml:space="preserve"> Mg, Zn and Fe</w:t>
      </w:r>
      <w:r>
        <w:t xml:space="preserve">. GC-MS analysis demonstrated that the gas phase was </w:t>
      </w:r>
      <w:r w:rsidR="00C80887">
        <w:t xml:space="preserve">predominantly </w:t>
      </w:r>
      <w:r>
        <w:t>composed of CO</w:t>
      </w:r>
      <w:r w:rsidRPr="003F0944">
        <w:rPr>
          <w:vertAlign w:val="subscript"/>
        </w:rPr>
        <w:t>2</w:t>
      </w:r>
      <w:r>
        <w:t xml:space="preserve"> (</w:t>
      </w:r>
      <w:r w:rsidR="00BB3734">
        <w:t>between 96</w:t>
      </w:r>
      <w:r w:rsidR="00DE08F6">
        <w:t>% - 99%</w:t>
      </w:r>
      <w:r>
        <w:t xml:space="preserve">), </w:t>
      </w:r>
      <w:r w:rsidR="00C80887">
        <w:t>and the remaining</w:t>
      </w:r>
      <w:r>
        <w:t xml:space="preserve"> fraction composed of volatile organics, </w:t>
      </w:r>
      <w:r w:rsidR="00C80887">
        <w:t>particularly</w:t>
      </w:r>
      <w:r>
        <w:t xml:space="preserve"> propene, isobutylene, 1-butene and 1,2-dimethylcyclopropane (full analysis is given in the supporting information).</w:t>
      </w:r>
    </w:p>
    <w:p w14:paraId="593A288A" w14:textId="03BB64F4" w:rsidR="00842B2C" w:rsidRPr="00930EBC" w:rsidRDefault="00DB4585" w:rsidP="00BB3734">
      <w:pPr>
        <w:spacing w:line="480" w:lineRule="auto"/>
        <w:jc w:val="both"/>
      </w:pPr>
      <w:r>
        <w:t>L</w:t>
      </w:r>
      <w:r w:rsidR="0020482B">
        <w:t>ower processing temperatures tended to increase yields of CO</w:t>
      </w:r>
      <w:r w:rsidR="0020482B" w:rsidRPr="00DA4DD0">
        <w:rPr>
          <w:vertAlign w:val="subscript"/>
        </w:rPr>
        <w:t>2</w:t>
      </w:r>
      <w:r w:rsidR="0020482B">
        <w:t xml:space="preserve"> and decrease VOC content. Similar results have been noted previously where</w:t>
      </w:r>
      <w:r w:rsidR="0020482B" w:rsidRPr="00842B2C">
        <w:rPr>
          <w:i/>
        </w:rPr>
        <w:t xml:space="preserve"> </w:t>
      </w:r>
      <w:r w:rsidR="00C62E3E" w:rsidRPr="00C62E3E">
        <w:rPr>
          <w:i/>
        </w:rPr>
        <w:t xml:space="preserve">Nannochloropsis </w:t>
      </w:r>
      <w:r w:rsidR="0020482B">
        <w:t xml:space="preserve"> </w:t>
      </w:r>
      <w:r w:rsidR="00842B2C">
        <w:t xml:space="preserve">sp. </w:t>
      </w:r>
      <w:r w:rsidR="0020482B">
        <w:t>yielded a gas phase with elevated hydrocarbons on increasing temperatures, although the most abundant species were determined to be methane and C</w:t>
      </w:r>
      <w:r w:rsidR="0020482B" w:rsidRPr="003F0944">
        <w:rPr>
          <w:vertAlign w:val="subscript"/>
        </w:rPr>
        <w:t>2</w:t>
      </w:r>
      <w:r w:rsidR="0020482B">
        <w:t xml:space="preserve"> hydrocarbons, rather than C</w:t>
      </w:r>
      <w:r w:rsidR="0020482B" w:rsidRPr="003F0944">
        <w:rPr>
          <w:vertAlign w:val="subscript"/>
        </w:rPr>
        <w:t>3</w:t>
      </w:r>
      <w:r w:rsidR="0020482B">
        <w:t>–C</w:t>
      </w:r>
      <w:r w:rsidR="0020482B" w:rsidRPr="003F0944">
        <w:rPr>
          <w:vertAlign w:val="subscript"/>
        </w:rPr>
        <w:t>5</w:t>
      </w:r>
      <w:r w:rsidR="0020482B">
        <w:rPr>
          <w:vertAlign w:val="subscript"/>
        </w:rPr>
        <w:t xml:space="preserve"> </w:t>
      </w:r>
      <w:r w:rsidR="0020482B" w:rsidRPr="0020482B">
        <w:t>species</w:t>
      </w:r>
      <w:r w:rsidR="00157531">
        <w:t xml:space="preserve"> </w:t>
      </w:r>
      <w:r w:rsidR="00157531">
        <w:fldChar w:fldCharType="begin"/>
      </w:r>
      <w:r w:rsidR="00E7405E">
        <w:instrText xml:space="preserve"> ADDIN EN.CITE &lt;EndNote&gt;&lt;Cite&gt;&lt;Author&gt;Brown&lt;/Author&gt;&lt;Year&gt;2010&lt;/Year&gt;&lt;RecNum&gt;986&lt;/RecNum&gt;&lt;DisplayText&gt;[35]&lt;/DisplayText&gt;&lt;record&gt;&lt;rec-number&gt;986&lt;/rec-number&gt;&lt;foreign-keys&gt;&lt;key app="EN" db-id="fa5pvx0a352spiedf5tvff5409zrwa0zxvsd"&gt;986&lt;/key&gt;&lt;/foreign-keys&gt;&lt;ref-type name="Journal Article"&gt;17&lt;/ref-type&gt;&lt;contributors&gt;&lt;authors&gt;&lt;author&gt;Brown, Tylisha M&lt;/author&gt;&lt;author&gt;Duan, Peigao&lt;/author&gt;&lt;author&gt;Savage, Phillip E&lt;/author&gt;&lt;/authors&gt;&lt;/contributors&gt;&lt;titles&gt;&lt;title&gt;Hydrothermal liquefaction and gasification of Nannochloropsis sp&lt;/title&gt;&lt;secondary-title&gt;Energy &amp;amp; Fuels&lt;/secondary-title&gt;&lt;/titles&gt;&lt;periodical&gt;&lt;full-title&gt;Energy &amp;amp; Fuels&lt;/full-title&gt;&lt;/periodical&gt;&lt;pages&gt;3639-3646&lt;/pages&gt;&lt;volume&gt;24&lt;/volume&gt;&lt;number&gt;6&lt;/number&gt;&lt;dates&gt;&lt;year&gt;2010&lt;/year&gt;&lt;/dates&gt;&lt;isbn&gt;0887-0624&lt;/isbn&gt;&lt;urls&gt;&lt;/urls&gt;&lt;/record&gt;&lt;/Cite&gt;&lt;/EndNote&gt;</w:instrText>
      </w:r>
      <w:r w:rsidR="00157531">
        <w:fldChar w:fldCharType="separate"/>
      </w:r>
      <w:r w:rsidR="00E7405E">
        <w:rPr>
          <w:noProof/>
        </w:rPr>
        <w:t>[35]</w:t>
      </w:r>
      <w:r w:rsidR="00157531">
        <w:fldChar w:fldCharType="end"/>
      </w:r>
      <w:r w:rsidR="0020482B">
        <w:t>. This suggests that the use of lower processing temperatures would be beneficial for gas phase recycling to supplement algal cultivation, as relatively high-purity CO</w:t>
      </w:r>
      <w:r w:rsidR="0020482B" w:rsidRPr="003F0944">
        <w:rPr>
          <w:vertAlign w:val="subscript"/>
        </w:rPr>
        <w:t>2</w:t>
      </w:r>
      <w:r w:rsidR="0020482B">
        <w:t xml:space="preserve"> is required</w:t>
      </w:r>
      <w:r w:rsidR="00952A63">
        <w:t xml:space="preserve"> to culture the algae</w:t>
      </w:r>
      <w:r w:rsidR="0020482B">
        <w:t>.</w:t>
      </w:r>
      <w:r w:rsidRPr="00DB4585">
        <w:t xml:space="preserve"> </w:t>
      </w:r>
    </w:p>
    <w:p w14:paraId="461D1AD2" w14:textId="33AC07F6" w:rsidR="0020482B" w:rsidRPr="006F60EF" w:rsidRDefault="006C0081" w:rsidP="00B50382">
      <w:pPr>
        <w:spacing w:line="480" w:lineRule="auto"/>
      </w:pPr>
      <w:r w:rsidRPr="005017ED">
        <w:rPr>
          <w:i/>
          <w:sz w:val="20"/>
        </w:rPr>
        <w:t>Table 3. Analysis of the gas fraction produced from the hydrothermal liquefaction of Spirulina with additional metal sulfates</w:t>
      </w:r>
      <w:r w:rsidR="006F60EF">
        <w:t xml:space="preserve">. </w:t>
      </w:r>
      <w:r w:rsidR="006F60EF" w:rsidRPr="00DA214D">
        <w:rPr>
          <w:i/>
          <w:sz w:val="20"/>
        </w:rPr>
        <w:t xml:space="preserve">Gas yield is given as a percentage of the original biomass, </w:t>
      </w:r>
      <w:r w:rsidR="00DB4585" w:rsidRPr="00DA214D">
        <w:rPr>
          <w:i/>
          <w:sz w:val="20"/>
        </w:rPr>
        <w:t xml:space="preserve">on the assumption that </w:t>
      </w:r>
      <w:r w:rsidR="006F60EF" w:rsidRPr="00DA214D">
        <w:rPr>
          <w:i/>
          <w:sz w:val="20"/>
        </w:rPr>
        <w:t>the volume is entirely</w:t>
      </w:r>
      <w:r w:rsidR="00DB4585" w:rsidRPr="00DA214D">
        <w:rPr>
          <w:i/>
          <w:sz w:val="20"/>
        </w:rPr>
        <w:t xml:space="preserve"> composed of</w:t>
      </w:r>
      <w:r w:rsidR="006F60EF" w:rsidRPr="00DA214D">
        <w:rPr>
          <w:i/>
          <w:sz w:val="20"/>
        </w:rPr>
        <w:t xml:space="preserve"> CO</w:t>
      </w:r>
      <w:r w:rsidR="006F60EF" w:rsidRPr="00DA214D">
        <w:rPr>
          <w:i/>
          <w:sz w:val="20"/>
          <w:vertAlign w:val="subscript"/>
        </w:rPr>
        <w:t>2</w:t>
      </w:r>
      <w:r w:rsidR="006F60EF" w:rsidRPr="00DA214D">
        <w:rPr>
          <w:i/>
          <w:sz w:val="20"/>
        </w:rPr>
        <w:t>.</w:t>
      </w:r>
      <w:r w:rsidR="006F60EF" w:rsidRPr="00DA214D">
        <w:rPr>
          <w:sz w:val="20"/>
        </w:rPr>
        <w:t xml:space="preserve"> </w:t>
      </w:r>
      <w:r w:rsidR="006F60EF" w:rsidRPr="00DA214D">
        <w:rPr>
          <w:sz w:val="20"/>
          <w:vertAlign w:val="subscript"/>
        </w:rPr>
        <w:t xml:space="preserve"> </w:t>
      </w:r>
    </w:p>
    <w:tbl>
      <w:tblPr>
        <w:tblStyle w:val="TableGrid"/>
        <w:tblW w:w="0" w:type="auto"/>
        <w:jc w:val="center"/>
        <w:tblLook w:val="04A0" w:firstRow="1" w:lastRow="0" w:firstColumn="1" w:lastColumn="0" w:noHBand="0" w:noVBand="1"/>
      </w:tblPr>
      <w:tblGrid>
        <w:gridCol w:w="1413"/>
        <w:gridCol w:w="1134"/>
        <w:gridCol w:w="1134"/>
        <w:gridCol w:w="992"/>
        <w:gridCol w:w="992"/>
        <w:gridCol w:w="993"/>
        <w:gridCol w:w="923"/>
      </w:tblGrid>
      <w:tr w:rsidR="0020482B" w:rsidRPr="00A13F2E" w14:paraId="3D7FC0B6" w14:textId="77777777" w:rsidTr="007A4807">
        <w:trPr>
          <w:trHeight w:val="95"/>
          <w:jc w:val="center"/>
        </w:trPr>
        <w:tc>
          <w:tcPr>
            <w:tcW w:w="1413" w:type="dxa"/>
          </w:tcPr>
          <w:p w14:paraId="659AB930" w14:textId="77777777" w:rsidR="0020482B" w:rsidRPr="00A13F2E" w:rsidRDefault="0020482B" w:rsidP="00B50382">
            <w:pPr>
              <w:pStyle w:val="Caption"/>
              <w:spacing w:after="0" w:line="480" w:lineRule="auto"/>
              <w:jc w:val="both"/>
              <w:rPr>
                <w:color w:val="000000" w:themeColor="text1"/>
                <w:szCs w:val="22"/>
              </w:rPr>
            </w:pPr>
            <w:r w:rsidRPr="00A13F2E">
              <w:rPr>
                <w:color w:val="000000" w:themeColor="text1"/>
              </w:rPr>
              <w:br w:type="page"/>
              <w:t xml:space="preserve">Metal </w:t>
            </w:r>
          </w:p>
        </w:tc>
        <w:tc>
          <w:tcPr>
            <w:tcW w:w="2268" w:type="dxa"/>
            <w:gridSpan w:val="2"/>
          </w:tcPr>
          <w:p w14:paraId="7BBF4A8A" w14:textId="053FA109" w:rsidR="0020482B" w:rsidRDefault="00842B2C" w:rsidP="00B50382">
            <w:pPr>
              <w:pStyle w:val="Caption"/>
              <w:spacing w:after="0" w:line="480" w:lineRule="auto"/>
              <w:jc w:val="center"/>
              <w:rPr>
                <w:color w:val="000000" w:themeColor="text1"/>
                <w:szCs w:val="22"/>
              </w:rPr>
            </w:pPr>
            <w:r>
              <w:rPr>
                <w:color w:val="000000" w:themeColor="text1"/>
                <w:szCs w:val="22"/>
              </w:rPr>
              <w:t xml:space="preserve">Gas </w:t>
            </w:r>
            <w:r w:rsidR="0020482B">
              <w:rPr>
                <w:color w:val="000000" w:themeColor="text1"/>
                <w:szCs w:val="22"/>
              </w:rPr>
              <w:t>Yield</w:t>
            </w:r>
            <w:r w:rsidR="006F60EF">
              <w:rPr>
                <w:color w:val="000000" w:themeColor="text1"/>
                <w:szCs w:val="22"/>
              </w:rPr>
              <w:t xml:space="preserve"> (%) </w:t>
            </w:r>
          </w:p>
        </w:tc>
        <w:tc>
          <w:tcPr>
            <w:tcW w:w="1984" w:type="dxa"/>
            <w:gridSpan w:val="2"/>
          </w:tcPr>
          <w:p w14:paraId="749B83BF" w14:textId="77777777" w:rsidR="0020482B" w:rsidRPr="003F0A27" w:rsidRDefault="0020482B" w:rsidP="00B50382">
            <w:pPr>
              <w:pStyle w:val="Caption"/>
              <w:spacing w:after="0" w:line="480" w:lineRule="auto"/>
              <w:jc w:val="center"/>
              <w:rPr>
                <w:color w:val="000000" w:themeColor="text1"/>
                <w:szCs w:val="22"/>
              </w:rPr>
            </w:pPr>
            <w:r>
              <w:rPr>
                <w:color w:val="000000" w:themeColor="text1"/>
                <w:szCs w:val="22"/>
              </w:rPr>
              <w:t>CO</w:t>
            </w:r>
            <w:r w:rsidRPr="00A13F2E">
              <w:rPr>
                <w:color w:val="000000" w:themeColor="text1"/>
                <w:szCs w:val="22"/>
                <w:vertAlign w:val="subscript"/>
              </w:rPr>
              <w:t>2</w:t>
            </w:r>
            <w:r>
              <w:rPr>
                <w:color w:val="000000" w:themeColor="text1"/>
                <w:szCs w:val="22"/>
                <w:vertAlign w:val="subscript"/>
              </w:rPr>
              <w:t xml:space="preserve"> </w:t>
            </w:r>
            <w:r w:rsidRPr="003F0A27">
              <w:rPr>
                <w:color w:val="000000" w:themeColor="text1"/>
                <w:szCs w:val="22"/>
              </w:rPr>
              <w:t>(%)</w:t>
            </w:r>
          </w:p>
        </w:tc>
        <w:tc>
          <w:tcPr>
            <w:tcW w:w="1916" w:type="dxa"/>
            <w:gridSpan w:val="2"/>
          </w:tcPr>
          <w:p w14:paraId="0D1A1AB8" w14:textId="77777777" w:rsidR="0020482B" w:rsidRDefault="0020482B" w:rsidP="00B50382">
            <w:pPr>
              <w:pStyle w:val="Caption"/>
              <w:spacing w:after="0" w:line="480" w:lineRule="auto"/>
              <w:jc w:val="center"/>
              <w:rPr>
                <w:color w:val="000000" w:themeColor="text1"/>
                <w:szCs w:val="22"/>
              </w:rPr>
            </w:pPr>
            <w:r>
              <w:rPr>
                <w:color w:val="000000" w:themeColor="text1"/>
                <w:szCs w:val="22"/>
              </w:rPr>
              <w:t xml:space="preserve">Volatile organic carbon </w:t>
            </w:r>
            <w:r w:rsidRPr="003F0A27">
              <w:rPr>
                <w:color w:val="000000" w:themeColor="text1"/>
                <w:szCs w:val="22"/>
              </w:rPr>
              <w:t>(%)</w:t>
            </w:r>
          </w:p>
        </w:tc>
      </w:tr>
      <w:tr w:rsidR="0020482B" w:rsidRPr="00A13F2E" w14:paraId="0D7BE1A7" w14:textId="77777777" w:rsidTr="007A4807">
        <w:trPr>
          <w:jc w:val="center"/>
        </w:trPr>
        <w:tc>
          <w:tcPr>
            <w:tcW w:w="1413" w:type="dxa"/>
          </w:tcPr>
          <w:p w14:paraId="6910E4F9" w14:textId="77777777" w:rsidR="0020482B" w:rsidRPr="00A13F2E" w:rsidRDefault="0020482B" w:rsidP="00B50382">
            <w:pPr>
              <w:pStyle w:val="Caption"/>
              <w:spacing w:after="0" w:line="480" w:lineRule="auto"/>
              <w:jc w:val="both"/>
              <w:rPr>
                <w:b w:val="0"/>
                <w:color w:val="000000" w:themeColor="text1"/>
                <w:szCs w:val="22"/>
              </w:rPr>
            </w:pPr>
          </w:p>
        </w:tc>
        <w:tc>
          <w:tcPr>
            <w:tcW w:w="1134" w:type="dxa"/>
          </w:tcPr>
          <w:p w14:paraId="482D2303" w14:textId="77777777" w:rsidR="0020482B" w:rsidRPr="00FC1F2F" w:rsidRDefault="0020482B" w:rsidP="00B50382">
            <w:pPr>
              <w:pStyle w:val="Caption"/>
              <w:spacing w:after="0" w:line="480" w:lineRule="auto"/>
              <w:jc w:val="center"/>
              <w:rPr>
                <w:color w:val="000000" w:themeColor="text1"/>
                <w:szCs w:val="22"/>
              </w:rPr>
            </w:pPr>
            <w:r w:rsidRPr="00FC1F2F">
              <w:rPr>
                <w:color w:val="000000" w:themeColor="text1"/>
                <w:szCs w:val="22"/>
              </w:rPr>
              <w:t>310 °C</w:t>
            </w:r>
          </w:p>
        </w:tc>
        <w:tc>
          <w:tcPr>
            <w:tcW w:w="1134" w:type="dxa"/>
          </w:tcPr>
          <w:p w14:paraId="06A4FBEA" w14:textId="77777777" w:rsidR="0020482B" w:rsidRPr="00FC1F2F" w:rsidRDefault="0020482B" w:rsidP="00B50382">
            <w:pPr>
              <w:pStyle w:val="Caption"/>
              <w:spacing w:after="0" w:line="480" w:lineRule="auto"/>
              <w:jc w:val="center"/>
              <w:rPr>
                <w:color w:val="000000" w:themeColor="text1"/>
                <w:szCs w:val="22"/>
              </w:rPr>
            </w:pPr>
            <w:r w:rsidRPr="00FC1F2F">
              <w:rPr>
                <w:color w:val="000000" w:themeColor="text1"/>
                <w:szCs w:val="22"/>
              </w:rPr>
              <w:t>350 °C</w:t>
            </w:r>
          </w:p>
        </w:tc>
        <w:tc>
          <w:tcPr>
            <w:tcW w:w="992" w:type="dxa"/>
          </w:tcPr>
          <w:p w14:paraId="026100FA" w14:textId="77777777" w:rsidR="0020482B" w:rsidRPr="00FC1F2F" w:rsidRDefault="0020482B" w:rsidP="00B50382">
            <w:pPr>
              <w:pStyle w:val="Caption"/>
              <w:spacing w:after="0" w:line="480" w:lineRule="auto"/>
              <w:jc w:val="center"/>
              <w:rPr>
                <w:color w:val="000000" w:themeColor="text1"/>
                <w:szCs w:val="22"/>
              </w:rPr>
            </w:pPr>
            <w:r w:rsidRPr="00FC1F2F">
              <w:rPr>
                <w:color w:val="000000" w:themeColor="text1"/>
                <w:szCs w:val="22"/>
              </w:rPr>
              <w:t>310 °C</w:t>
            </w:r>
          </w:p>
        </w:tc>
        <w:tc>
          <w:tcPr>
            <w:tcW w:w="992" w:type="dxa"/>
          </w:tcPr>
          <w:p w14:paraId="5E6F1670" w14:textId="77777777" w:rsidR="0020482B" w:rsidRPr="00FC1F2F" w:rsidRDefault="0020482B" w:rsidP="00B50382">
            <w:pPr>
              <w:pStyle w:val="Caption"/>
              <w:spacing w:after="0" w:line="480" w:lineRule="auto"/>
              <w:jc w:val="center"/>
              <w:rPr>
                <w:color w:val="000000" w:themeColor="text1"/>
                <w:szCs w:val="22"/>
              </w:rPr>
            </w:pPr>
            <w:r w:rsidRPr="00FC1F2F">
              <w:rPr>
                <w:color w:val="000000" w:themeColor="text1"/>
                <w:szCs w:val="22"/>
              </w:rPr>
              <w:t>350 °C</w:t>
            </w:r>
          </w:p>
        </w:tc>
        <w:tc>
          <w:tcPr>
            <w:tcW w:w="993" w:type="dxa"/>
          </w:tcPr>
          <w:p w14:paraId="66BCB98E" w14:textId="77777777" w:rsidR="0020482B" w:rsidRPr="00FC1F2F" w:rsidRDefault="0020482B" w:rsidP="00B50382">
            <w:pPr>
              <w:pStyle w:val="Caption"/>
              <w:spacing w:after="0" w:line="480" w:lineRule="auto"/>
              <w:jc w:val="center"/>
              <w:rPr>
                <w:color w:val="000000" w:themeColor="text1"/>
                <w:szCs w:val="22"/>
              </w:rPr>
            </w:pPr>
            <w:r w:rsidRPr="00FC1F2F">
              <w:rPr>
                <w:color w:val="000000" w:themeColor="text1"/>
                <w:szCs w:val="22"/>
              </w:rPr>
              <w:t>310 °C</w:t>
            </w:r>
          </w:p>
        </w:tc>
        <w:tc>
          <w:tcPr>
            <w:tcW w:w="923" w:type="dxa"/>
          </w:tcPr>
          <w:p w14:paraId="71275885" w14:textId="77777777" w:rsidR="0020482B" w:rsidRPr="00FC1F2F" w:rsidRDefault="0020482B" w:rsidP="00B50382">
            <w:pPr>
              <w:pStyle w:val="Caption"/>
              <w:spacing w:after="0" w:line="480" w:lineRule="auto"/>
              <w:jc w:val="center"/>
              <w:rPr>
                <w:color w:val="000000" w:themeColor="text1"/>
                <w:szCs w:val="22"/>
              </w:rPr>
            </w:pPr>
            <w:r w:rsidRPr="00FC1F2F">
              <w:rPr>
                <w:color w:val="000000" w:themeColor="text1"/>
                <w:szCs w:val="22"/>
              </w:rPr>
              <w:t>350 °C</w:t>
            </w:r>
          </w:p>
        </w:tc>
      </w:tr>
      <w:tr w:rsidR="0020482B" w:rsidRPr="00A13F2E" w14:paraId="1FE0AE4C" w14:textId="77777777" w:rsidTr="007A4807">
        <w:trPr>
          <w:jc w:val="center"/>
        </w:trPr>
        <w:tc>
          <w:tcPr>
            <w:tcW w:w="1413" w:type="dxa"/>
          </w:tcPr>
          <w:p w14:paraId="648C768B" w14:textId="77777777" w:rsidR="0020482B" w:rsidRPr="00A13F2E" w:rsidRDefault="0020482B" w:rsidP="00B50382">
            <w:pPr>
              <w:pStyle w:val="Caption"/>
              <w:spacing w:after="0" w:line="480" w:lineRule="auto"/>
              <w:jc w:val="both"/>
              <w:rPr>
                <w:b w:val="0"/>
                <w:color w:val="000000" w:themeColor="text1"/>
                <w:szCs w:val="22"/>
              </w:rPr>
            </w:pPr>
            <w:r>
              <w:rPr>
                <w:b w:val="0"/>
                <w:color w:val="000000" w:themeColor="text1"/>
                <w:szCs w:val="22"/>
              </w:rPr>
              <w:t>None</w:t>
            </w:r>
          </w:p>
        </w:tc>
        <w:tc>
          <w:tcPr>
            <w:tcW w:w="1134" w:type="dxa"/>
          </w:tcPr>
          <w:p w14:paraId="7BAC9925"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9.8</w:t>
            </w:r>
          </w:p>
        </w:tc>
        <w:tc>
          <w:tcPr>
            <w:tcW w:w="1134" w:type="dxa"/>
          </w:tcPr>
          <w:p w14:paraId="277C1ACD"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13.4</w:t>
            </w:r>
          </w:p>
        </w:tc>
        <w:tc>
          <w:tcPr>
            <w:tcW w:w="992" w:type="dxa"/>
          </w:tcPr>
          <w:p w14:paraId="5F1CF5C6"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98.7</w:t>
            </w:r>
          </w:p>
        </w:tc>
        <w:tc>
          <w:tcPr>
            <w:tcW w:w="992" w:type="dxa"/>
          </w:tcPr>
          <w:p w14:paraId="750D9BD2"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97.4</w:t>
            </w:r>
          </w:p>
        </w:tc>
        <w:tc>
          <w:tcPr>
            <w:tcW w:w="993" w:type="dxa"/>
          </w:tcPr>
          <w:p w14:paraId="261FC0E6"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1.32</w:t>
            </w:r>
          </w:p>
        </w:tc>
        <w:tc>
          <w:tcPr>
            <w:tcW w:w="923" w:type="dxa"/>
          </w:tcPr>
          <w:p w14:paraId="2B3809E7"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2.64</w:t>
            </w:r>
          </w:p>
        </w:tc>
      </w:tr>
      <w:tr w:rsidR="0020482B" w:rsidRPr="00A13F2E" w14:paraId="590DEB73" w14:textId="77777777" w:rsidTr="007A4807">
        <w:trPr>
          <w:jc w:val="center"/>
        </w:trPr>
        <w:tc>
          <w:tcPr>
            <w:tcW w:w="1413" w:type="dxa"/>
          </w:tcPr>
          <w:p w14:paraId="098B691D" w14:textId="77777777" w:rsidR="0020482B" w:rsidRPr="00A13F2E" w:rsidRDefault="0020482B" w:rsidP="00B50382">
            <w:pPr>
              <w:pStyle w:val="Caption"/>
              <w:spacing w:after="0" w:line="480" w:lineRule="auto"/>
              <w:jc w:val="both"/>
              <w:rPr>
                <w:b w:val="0"/>
                <w:color w:val="000000" w:themeColor="text1"/>
                <w:szCs w:val="22"/>
              </w:rPr>
            </w:pPr>
            <w:r w:rsidRPr="00A13F2E">
              <w:rPr>
                <w:b w:val="0"/>
                <w:color w:val="000000" w:themeColor="text1"/>
                <w:szCs w:val="22"/>
              </w:rPr>
              <w:t>Pb</w:t>
            </w:r>
          </w:p>
        </w:tc>
        <w:tc>
          <w:tcPr>
            <w:tcW w:w="1134" w:type="dxa"/>
          </w:tcPr>
          <w:p w14:paraId="444C264C"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8.6</w:t>
            </w:r>
          </w:p>
        </w:tc>
        <w:tc>
          <w:tcPr>
            <w:tcW w:w="1134" w:type="dxa"/>
          </w:tcPr>
          <w:p w14:paraId="38660442"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9.5</w:t>
            </w:r>
          </w:p>
        </w:tc>
        <w:tc>
          <w:tcPr>
            <w:tcW w:w="992" w:type="dxa"/>
          </w:tcPr>
          <w:p w14:paraId="3CBE18DD"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98.4</w:t>
            </w:r>
          </w:p>
        </w:tc>
        <w:tc>
          <w:tcPr>
            <w:tcW w:w="992" w:type="dxa"/>
          </w:tcPr>
          <w:p w14:paraId="63CCBBA9"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96.8</w:t>
            </w:r>
          </w:p>
        </w:tc>
        <w:tc>
          <w:tcPr>
            <w:tcW w:w="993" w:type="dxa"/>
          </w:tcPr>
          <w:p w14:paraId="40483962"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1.64</w:t>
            </w:r>
          </w:p>
        </w:tc>
        <w:tc>
          <w:tcPr>
            <w:tcW w:w="923" w:type="dxa"/>
          </w:tcPr>
          <w:p w14:paraId="2DCE292A"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3.18</w:t>
            </w:r>
          </w:p>
        </w:tc>
      </w:tr>
      <w:tr w:rsidR="0020482B" w:rsidRPr="00A13F2E" w14:paraId="6C4AEA34" w14:textId="77777777" w:rsidTr="007A4807">
        <w:trPr>
          <w:jc w:val="center"/>
        </w:trPr>
        <w:tc>
          <w:tcPr>
            <w:tcW w:w="1413" w:type="dxa"/>
          </w:tcPr>
          <w:p w14:paraId="060E87A7" w14:textId="77777777" w:rsidR="0020482B" w:rsidRPr="00A13F2E" w:rsidRDefault="0020482B" w:rsidP="00B50382">
            <w:pPr>
              <w:pStyle w:val="Caption"/>
              <w:spacing w:after="0" w:line="480" w:lineRule="auto"/>
              <w:jc w:val="both"/>
              <w:rPr>
                <w:b w:val="0"/>
                <w:color w:val="000000" w:themeColor="text1"/>
                <w:szCs w:val="22"/>
              </w:rPr>
            </w:pPr>
            <w:r w:rsidRPr="00A13F2E">
              <w:rPr>
                <w:b w:val="0"/>
                <w:color w:val="000000" w:themeColor="text1"/>
                <w:szCs w:val="22"/>
              </w:rPr>
              <w:t>Sn</w:t>
            </w:r>
          </w:p>
        </w:tc>
        <w:tc>
          <w:tcPr>
            <w:tcW w:w="1134" w:type="dxa"/>
          </w:tcPr>
          <w:p w14:paraId="7676C238" w14:textId="77777777" w:rsidR="0020482B" w:rsidRPr="00DA4DD0" w:rsidRDefault="0020482B" w:rsidP="00B50382">
            <w:pPr>
              <w:pStyle w:val="Caption"/>
              <w:spacing w:after="0" w:line="480" w:lineRule="auto"/>
              <w:jc w:val="center"/>
              <w:rPr>
                <w:b w:val="0"/>
                <w:color w:val="000000" w:themeColor="text1"/>
                <w:szCs w:val="22"/>
              </w:rPr>
            </w:pPr>
            <w:r>
              <w:rPr>
                <w:b w:val="0"/>
                <w:color w:val="000000" w:themeColor="text1"/>
                <w:szCs w:val="22"/>
              </w:rPr>
              <w:t>9.1</w:t>
            </w:r>
          </w:p>
        </w:tc>
        <w:tc>
          <w:tcPr>
            <w:tcW w:w="1134" w:type="dxa"/>
          </w:tcPr>
          <w:p w14:paraId="4505D328"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14.6</w:t>
            </w:r>
          </w:p>
        </w:tc>
        <w:tc>
          <w:tcPr>
            <w:tcW w:w="992" w:type="dxa"/>
          </w:tcPr>
          <w:p w14:paraId="0B828644"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98.5</w:t>
            </w:r>
          </w:p>
        </w:tc>
        <w:tc>
          <w:tcPr>
            <w:tcW w:w="992" w:type="dxa"/>
          </w:tcPr>
          <w:p w14:paraId="2965A54A"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98.4</w:t>
            </w:r>
          </w:p>
        </w:tc>
        <w:tc>
          <w:tcPr>
            <w:tcW w:w="993" w:type="dxa"/>
          </w:tcPr>
          <w:p w14:paraId="3B82BF68"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1.49</w:t>
            </w:r>
          </w:p>
        </w:tc>
        <w:tc>
          <w:tcPr>
            <w:tcW w:w="923" w:type="dxa"/>
          </w:tcPr>
          <w:p w14:paraId="21F5C31D"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1.62</w:t>
            </w:r>
          </w:p>
        </w:tc>
      </w:tr>
      <w:tr w:rsidR="0020482B" w:rsidRPr="00A13F2E" w14:paraId="2B46BD3B" w14:textId="77777777" w:rsidTr="007A4807">
        <w:trPr>
          <w:jc w:val="center"/>
        </w:trPr>
        <w:tc>
          <w:tcPr>
            <w:tcW w:w="1413" w:type="dxa"/>
          </w:tcPr>
          <w:p w14:paraId="1107AF59" w14:textId="77777777" w:rsidR="0020482B" w:rsidRPr="00A13F2E" w:rsidRDefault="0020482B" w:rsidP="00B50382">
            <w:pPr>
              <w:pStyle w:val="Caption"/>
              <w:spacing w:after="0" w:line="480" w:lineRule="auto"/>
              <w:jc w:val="both"/>
              <w:rPr>
                <w:b w:val="0"/>
                <w:color w:val="000000" w:themeColor="text1"/>
                <w:szCs w:val="22"/>
              </w:rPr>
            </w:pPr>
            <w:r>
              <w:rPr>
                <w:b w:val="0"/>
                <w:color w:val="000000" w:themeColor="text1"/>
                <w:szCs w:val="22"/>
              </w:rPr>
              <w:t>Mg Zn Fe (low uptake)</w:t>
            </w:r>
          </w:p>
        </w:tc>
        <w:tc>
          <w:tcPr>
            <w:tcW w:w="1134" w:type="dxa"/>
          </w:tcPr>
          <w:p w14:paraId="6EDEB6E1"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9.8</w:t>
            </w:r>
          </w:p>
        </w:tc>
        <w:tc>
          <w:tcPr>
            <w:tcW w:w="1134" w:type="dxa"/>
          </w:tcPr>
          <w:p w14:paraId="711AD5DD"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7.3</w:t>
            </w:r>
          </w:p>
        </w:tc>
        <w:tc>
          <w:tcPr>
            <w:tcW w:w="992" w:type="dxa"/>
          </w:tcPr>
          <w:p w14:paraId="2D8B7081"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99.0</w:t>
            </w:r>
          </w:p>
        </w:tc>
        <w:tc>
          <w:tcPr>
            <w:tcW w:w="992" w:type="dxa"/>
          </w:tcPr>
          <w:p w14:paraId="5967CA05"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95.9</w:t>
            </w:r>
          </w:p>
        </w:tc>
        <w:tc>
          <w:tcPr>
            <w:tcW w:w="993" w:type="dxa"/>
          </w:tcPr>
          <w:p w14:paraId="7DBE14C1"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1.05</w:t>
            </w:r>
          </w:p>
        </w:tc>
        <w:tc>
          <w:tcPr>
            <w:tcW w:w="923" w:type="dxa"/>
          </w:tcPr>
          <w:p w14:paraId="002F2262"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4.13</w:t>
            </w:r>
          </w:p>
        </w:tc>
      </w:tr>
      <w:tr w:rsidR="0020482B" w:rsidRPr="00A13F2E" w14:paraId="7D4E8E54" w14:textId="77777777" w:rsidTr="007A4807">
        <w:trPr>
          <w:jc w:val="center"/>
        </w:trPr>
        <w:tc>
          <w:tcPr>
            <w:tcW w:w="1413" w:type="dxa"/>
          </w:tcPr>
          <w:p w14:paraId="53D639AE" w14:textId="77777777" w:rsidR="0020482B" w:rsidRPr="00A13F2E" w:rsidRDefault="0020482B" w:rsidP="00B50382">
            <w:pPr>
              <w:pStyle w:val="Caption"/>
              <w:spacing w:after="0" w:line="480" w:lineRule="auto"/>
              <w:jc w:val="both"/>
              <w:rPr>
                <w:b w:val="0"/>
                <w:color w:val="000000" w:themeColor="text1"/>
                <w:szCs w:val="22"/>
              </w:rPr>
            </w:pPr>
            <w:r>
              <w:rPr>
                <w:b w:val="0"/>
                <w:color w:val="000000" w:themeColor="text1"/>
                <w:szCs w:val="22"/>
              </w:rPr>
              <w:t>Mg Zn Fe (high uptake)</w:t>
            </w:r>
          </w:p>
        </w:tc>
        <w:tc>
          <w:tcPr>
            <w:tcW w:w="1134" w:type="dxa"/>
          </w:tcPr>
          <w:p w14:paraId="5C6FA7BE"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15.4</w:t>
            </w:r>
          </w:p>
        </w:tc>
        <w:tc>
          <w:tcPr>
            <w:tcW w:w="1134" w:type="dxa"/>
          </w:tcPr>
          <w:p w14:paraId="42831491"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15.6</w:t>
            </w:r>
          </w:p>
        </w:tc>
        <w:tc>
          <w:tcPr>
            <w:tcW w:w="992" w:type="dxa"/>
          </w:tcPr>
          <w:p w14:paraId="39B8D1C6"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99.4</w:t>
            </w:r>
          </w:p>
        </w:tc>
        <w:tc>
          <w:tcPr>
            <w:tcW w:w="992" w:type="dxa"/>
          </w:tcPr>
          <w:p w14:paraId="02545D45"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97.6</w:t>
            </w:r>
          </w:p>
        </w:tc>
        <w:tc>
          <w:tcPr>
            <w:tcW w:w="993" w:type="dxa"/>
          </w:tcPr>
          <w:p w14:paraId="798AC65A"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0.6</w:t>
            </w:r>
          </w:p>
        </w:tc>
        <w:tc>
          <w:tcPr>
            <w:tcW w:w="923" w:type="dxa"/>
          </w:tcPr>
          <w:p w14:paraId="5BE863EE"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2.44</w:t>
            </w:r>
          </w:p>
        </w:tc>
      </w:tr>
      <w:tr w:rsidR="0020482B" w:rsidRPr="00A13F2E" w14:paraId="5160487F" w14:textId="77777777" w:rsidTr="007A4807">
        <w:trPr>
          <w:jc w:val="center"/>
        </w:trPr>
        <w:tc>
          <w:tcPr>
            <w:tcW w:w="1413" w:type="dxa"/>
          </w:tcPr>
          <w:p w14:paraId="49B729CC" w14:textId="77777777" w:rsidR="0020482B" w:rsidRPr="00A13F2E" w:rsidRDefault="0020482B" w:rsidP="00B50382">
            <w:pPr>
              <w:pStyle w:val="Caption"/>
              <w:spacing w:after="0" w:line="480" w:lineRule="auto"/>
              <w:jc w:val="both"/>
              <w:rPr>
                <w:b w:val="0"/>
                <w:color w:val="000000" w:themeColor="text1"/>
                <w:szCs w:val="22"/>
              </w:rPr>
            </w:pPr>
            <w:r w:rsidRPr="00A13F2E">
              <w:rPr>
                <w:b w:val="0"/>
                <w:color w:val="000000" w:themeColor="text1"/>
                <w:szCs w:val="22"/>
              </w:rPr>
              <w:t>Mg</w:t>
            </w:r>
          </w:p>
        </w:tc>
        <w:tc>
          <w:tcPr>
            <w:tcW w:w="1134" w:type="dxa"/>
          </w:tcPr>
          <w:p w14:paraId="12CB4590"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13.1</w:t>
            </w:r>
          </w:p>
        </w:tc>
        <w:tc>
          <w:tcPr>
            <w:tcW w:w="1134" w:type="dxa"/>
          </w:tcPr>
          <w:p w14:paraId="1B385F9C"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10.8</w:t>
            </w:r>
          </w:p>
        </w:tc>
        <w:tc>
          <w:tcPr>
            <w:tcW w:w="992" w:type="dxa"/>
          </w:tcPr>
          <w:p w14:paraId="5CB8A349"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99.3</w:t>
            </w:r>
          </w:p>
        </w:tc>
        <w:tc>
          <w:tcPr>
            <w:tcW w:w="992" w:type="dxa"/>
          </w:tcPr>
          <w:p w14:paraId="325D0987"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97.3</w:t>
            </w:r>
          </w:p>
        </w:tc>
        <w:tc>
          <w:tcPr>
            <w:tcW w:w="993" w:type="dxa"/>
          </w:tcPr>
          <w:p w14:paraId="36434A00" w14:textId="77777777" w:rsidR="0020482B" w:rsidRPr="003F0A27" w:rsidRDefault="0020482B" w:rsidP="00B50382">
            <w:pPr>
              <w:pStyle w:val="Caption"/>
              <w:spacing w:after="0" w:line="480" w:lineRule="auto"/>
              <w:jc w:val="center"/>
              <w:rPr>
                <w:b w:val="0"/>
                <w:color w:val="000000" w:themeColor="text1"/>
                <w:szCs w:val="22"/>
              </w:rPr>
            </w:pPr>
            <w:r>
              <w:rPr>
                <w:b w:val="0"/>
                <w:color w:val="000000" w:themeColor="text1"/>
                <w:szCs w:val="22"/>
              </w:rPr>
              <w:t>0.72</w:t>
            </w:r>
          </w:p>
        </w:tc>
        <w:tc>
          <w:tcPr>
            <w:tcW w:w="923" w:type="dxa"/>
          </w:tcPr>
          <w:p w14:paraId="4E7AA031"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2.73</w:t>
            </w:r>
          </w:p>
        </w:tc>
      </w:tr>
      <w:tr w:rsidR="0020482B" w:rsidRPr="00A13F2E" w14:paraId="4AA53C23" w14:textId="77777777" w:rsidTr="007A4807">
        <w:trPr>
          <w:jc w:val="center"/>
        </w:trPr>
        <w:tc>
          <w:tcPr>
            <w:tcW w:w="1413" w:type="dxa"/>
          </w:tcPr>
          <w:p w14:paraId="75CA2206" w14:textId="77777777" w:rsidR="0020482B" w:rsidRPr="00A13F2E" w:rsidRDefault="0020482B" w:rsidP="00B50382">
            <w:pPr>
              <w:pStyle w:val="Caption"/>
              <w:spacing w:after="0" w:line="480" w:lineRule="auto"/>
              <w:jc w:val="both"/>
              <w:rPr>
                <w:b w:val="0"/>
                <w:color w:val="000000" w:themeColor="text1"/>
                <w:szCs w:val="22"/>
              </w:rPr>
            </w:pPr>
            <w:r w:rsidRPr="00A13F2E">
              <w:rPr>
                <w:b w:val="0"/>
                <w:color w:val="000000" w:themeColor="text1"/>
                <w:szCs w:val="22"/>
              </w:rPr>
              <w:t>Zn</w:t>
            </w:r>
          </w:p>
        </w:tc>
        <w:tc>
          <w:tcPr>
            <w:tcW w:w="1134" w:type="dxa"/>
          </w:tcPr>
          <w:p w14:paraId="668843FA"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10.7</w:t>
            </w:r>
          </w:p>
        </w:tc>
        <w:tc>
          <w:tcPr>
            <w:tcW w:w="1134" w:type="dxa"/>
          </w:tcPr>
          <w:p w14:paraId="14A4BB25"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11.8</w:t>
            </w:r>
          </w:p>
        </w:tc>
        <w:tc>
          <w:tcPr>
            <w:tcW w:w="992" w:type="dxa"/>
          </w:tcPr>
          <w:p w14:paraId="0EAC2E72"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97.8</w:t>
            </w:r>
          </w:p>
        </w:tc>
        <w:tc>
          <w:tcPr>
            <w:tcW w:w="992" w:type="dxa"/>
          </w:tcPr>
          <w:p w14:paraId="7E7E8122"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97.5</w:t>
            </w:r>
          </w:p>
        </w:tc>
        <w:tc>
          <w:tcPr>
            <w:tcW w:w="993" w:type="dxa"/>
          </w:tcPr>
          <w:p w14:paraId="562CFE9F"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2.21</w:t>
            </w:r>
          </w:p>
        </w:tc>
        <w:tc>
          <w:tcPr>
            <w:tcW w:w="923" w:type="dxa"/>
          </w:tcPr>
          <w:p w14:paraId="1730EA9D"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2.50</w:t>
            </w:r>
          </w:p>
        </w:tc>
      </w:tr>
      <w:tr w:rsidR="0020482B" w:rsidRPr="00A13F2E" w14:paraId="3E5FB531" w14:textId="77777777" w:rsidTr="007A4807">
        <w:trPr>
          <w:jc w:val="center"/>
        </w:trPr>
        <w:tc>
          <w:tcPr>
            <w:tcW w:w="1413" w:type="dxa"/>
          </w:tcPr>
          <w:p w14:paraId="4000DFE9" w14:textId="77777777" w:rsidR="0020482B" w:rsidRPr="00A13F2E" w:rsidRDefault="0020482B" w:rsidP="00B50382">
            <w:pPr>
              <w:pStyle w:val="Caption"/>
              <w:spacing w:after="0" w:line="480" w:lineRule="auto"/>
              <w:jc w:val="both"/>
              <w:rPr>
                <w:b w:val="0"/>
                <w:color w:val="000000" w:themeColor="text1"/>
                <w:szCs w:val="22"/>
              </w:rPr>
            </w:pPr>
            <w:r w:rsidRPr="00A13F2E">
              <w:rPr>
                <w:b w:val="0"/>
                <w:color w:val="000000" w:themeColor="text1"/>
                <w:szCs w:val="22"/>
              </w:rPr>
              <w:t>Fe</w:t>
            </w:r>
          </w:p>
        </w:tc>
        <w:tc>
          <w:tcPr>
            <w:tcW w:w="1134" w:type="dxa"/>
          </w:tcPr>
          <w:p w14:paraId="7C9AB546"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13.8</w:t>
            </w:r>
          </w:p>
        </w:tc>
        <w:tc>
          <w:tcPr>
            <w:tcW w:w="1134" w:type="dxa"/>
          </w:tcPr>
          <w:p w14:paraId="56293125" w14:textId="77777777" w:rsidR="0020482B" w:rsidRDefault="0020482B" w:rsidP="00B50382">
            <w:pPr>
              <w:pStyle w:val="Caption"/>
              <w:spacing w:after="0" w:line="480" w:lineRule="auto"/>
              <w:jc w:val="center"/>
              <w:rPr>
                <w:b w:val="0"/>
                <w:color w:val="000000" w:themeColor="text1"/>
                <w:szCs w:val="22"/>
              </w:rPr>
            </w:pPr>
            <w:r>
              <w:rPr>
                <w:b w:val="0"/>
                <w:color w:val="000000" w:themeColor="text1"/>
                <w:szCs w:val="22"/>
              </w:rPr>
              <w:t>16.2</w:t>
            </w:r>
          </w:p>
        </w:tc>
        <w:tc>
          <w:tcPr>
            <w:tcW w:w="992" w:type="dxa"/>
          </w:tcPr>
          <w:p w14:paraId="054F35E2"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99.0</w:t>
            </w:r>
          </w:p>
        </w:tc>
        <w:tc>
          <w:tcPr>
            <w:tcW w:w="992" w:type="dxa"/>
          </w:tcPr>
          <w:p w14:paraId="4AD2BF9F"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96.7</w:t>
            </w:r>
          </w:p>
        </w:tc>
        <w:tc>
          <w:tcPr>
            <w:tcW w:w="993" w:type="dxa"/>
          </w:tcPr>
          <w:p w14:paraId="120E0A29"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1.01</w:t>
            </w:r>
          </w:p>
        </w:tc>
        <w:tc>
          <w:tcPr>
            <w:tcW w:w="923" w:type="dxa"/>
          </w:tcPr>
          <w:p w14:paraId="3FA880BD" w14:textId="77777777" w:rsidR="0020482B" w:rsidRPr="00A13F2E" w:rsidRDefault="0020482B" w:rsidP="00B50382">
            <w:pPr>
              <w:pStyle w:val="Caption"/>
              <w:spacing w:after="0" w:line="480" w:lineRule="auto"/>
              <w:jc w:val="center"/>
              <w:rPr>
                <w:b w:val="0"/>
                <w:color w:val="000000" w:themeColor="text1"/>
                <w:szCs w:val="22"/>
              </w:rPr>
            </w:pPr>
            <w:r>
              <w:rPr>
                <w:b w:val="0"/>
                <w:color w:val="000000" w:themeColor="text1"/>
                <w:szCs w:val="22"/>
              </w:rPr>
              <w:t>3.27</w:t>
            </w:r>
          </w:p>
        </w:tc>
      </w:tr>
    </w:tbl>
    <w:p w14:paraId="463D301A" w14:textId="77777777" w:rsidR="00930EBC" w:rsidRPr="00DA2C71" w:rsidRDefault="00930EBC" w:rsidP="00930EBC">
      <w:pPr>
        <w:spacing w:line="480" w:lineRule="auto"/>
      </w:pPr>
      <w:r w:rsidRPr="00DA2C71">
        <w:rPr>
          <w:b/>
        </w:rPr>
        <w:t xml:space="preserve">3.1.4 </w:t>
      </w:r>
      <w:r>
        <w:rPr>
          <w:b/>
        </w:rPr>
        <w:t>Assessment of the s</w:t>
      </w:r>
      <w:r w:rsidRPr="00DA2C71">
        <w:rPr>
          <w:b/>
        </w:rPr>
        <w:t>olid residue</w:t>
      </w:r>
      <w:r>
        <w:rPr>
          <w:b/>
        </w:rPr>
        <w:t xml:space="preserve"> produced from the HTL of Spirulina with metal sulfates</w:t>
      </w:r>
    </w:p>
    <w:p w14:paraId="651A1895" w14:textId="693BEAFF" w:rsidR="000A21D2" w:rsidRDefault="00930EBC" w:rsidP="00BB3734">
      <w:pPr>
        <w:spacing w:line="480" w:lineRule="auto"/>
        <w:jc w:val="both"/>
      </w:pPr>
      <w:r>
        <w:t xml:space="preserve">There was only a minor decrease observed in the solid residue yields on increasing the temperature (figure 4a). Adding catalytic levels of metals also did not change the solid residue substantially. However, with increasing metal concentrations, more metals reported to the residue fraction </w:t>
      </w:r>
      <w:r w:rsidR="00633754">
        <w:t xml:space="preserve">thereby </w:t>
      </w:r>
      <w:r>
        <w:t>increasing apparent yields. This strongly suggests that the majority of the metals partitioned into the solid residue phase.</w:t>
      </w:r>
      <w:r w:rsidRPr="00930EBC">
        <w:t xml:space="preserve"> </w:t>
      </w:r>
      <w:r w:rsidR="00F04C81">
        <w:t xml:space="preserve">Only around 2% of the carbon from the original biomass partitioned into the solid residue </w:t>
      </w:r>
      <w:r w:rsidR="000A21D2">
        <w:t>on HTL of the original Spirulina</w:t>
      </w:r>
      <w:r w:rsidR="009C7F4A">
        <w:t xml:space="preserve"> </w:t>
      </w:r>
      <w:r w:rsidR="00F37816">
        <w:t>(Figure 4b).</w:t>
      </w:r>
      <w:r w:rsidR="000A21D2">
        <w:t xml:space="preserve"> </w:t>
      </w:r>
      <w:r w:rsidR="00072716">
        <w:t xml:space="preserve">Whilst this value remained more or less constant following </w:t>
      </w:r>
      <w:r w:rsidR="000A21D2">
        <w:t xml:space="preserve">the addition of small </w:t>
      </w:r>
      <w:r w:rsidR="00072716">
        <w:t xml:space="preserve">amounts </w:t>
      </w:r>
      <w:r w:rsidR="000A21D2">
        <w:t>of additional metals</w:t>
      </w:r>
      <w:r w:rsidR="00072716">
        <w:t xml:space="preserve"> (</w:t>
      </w:r>
      <w:r w:rsidR="000A21D2">
        <w:t>data not shown</w:t>
      </w:r>
      <w:r w:rsidR="00072716">
        <w:t>) up to 10% of the carbon from the biomass partitioned into the solid residue when processing of</w:t>
      </w:r>
      <w:r w:rsidR="000A21D2">
        <w:t xml:space="preserve"> the high uptake scenario at the lower</w:t>
      </w:r>
      <w:r w:rsidR="00072716">
        <w:t xml:space="preserve"> reaction</w:t>
      </w:r>
      <w:r w:rsidR="000A21D2">
        <w:t xml:space="preserve"> temperature. Mg, Zn and Fe all elevated the presence of carbon in the solid residue. </w:t>
      </w:r>
      <w:r w:rsidR="00072716">
        <w:t xml:space="preserve"> In general, the carbon concentration in the solid residue appeared to </w:t>
      </w:r>
      <w:r w:rsidR="00952A63">
        <w:t>be at the highest, at high metal loadings and lower</w:t>
      </w:r>
      <w:r w:rsidR="009372E4">
        <w:t xml:space="preserve"> temperatures</w:t>
      </w:r>
      <w:r w:rsidR="00072716">
        <w:t>,</w:t>
      </w:r>
      <w:r w:rsidR="009372E4">
        <w:t xml:space="preserve"> suggesting that </w:t>
      </w:r>
      <w:r w:rsidR="00633754">
        <w:t xml:space="preserve">the production of </w:t>
      </w:r>
      <w:r w:rsidR="009372E4">
        <w:t xml:space="preserve">large asphaltene type organics are catalysed </w:t>
      </w:r>
      <w:r w:rsidR="00952A63">
        <w:t>by the metals present</w:t>
      </w:r>
      <w:r w:rsidR="009372E4">
        <w:t xml:space="preserve">, though </w:t>
      </w:r>
      <w:r w:rsidR="00952A63">
        <w:t xml:space="preserve">a large decrease in the carbon content was observed at higher temperatures in the presence of iron, suggesting that the iron is catalytically breaking these compounds down. </w:t>
      </w:r>
    </w:p>
    <w:p w14:paraId="4EE1AF75" w14:textId="4314F0D9" w:rsidR="00075A7D" w:rsidRDefault="00930EBC" w:rsidP="00BB3734">
      <w:pPr>
        <w:spacing w:line="480" w:lineRule="auto"/>
        <w:jc w:val="both"/>
      </w:pPr>
      <w:r>
        <w:t>Th</w:t>
      </w:r>
      <w:r w:rsidR="009372E4">
        <w:t>e</w:t>
      </w:r>
      <w:r>
        <w:t xml:space="preserve"> increase in </w:t>
      </w:r>
      <w:r w:rsidR="009372E4">
        <w:t xml:space="preserve">the </w:t>
      </w:r>
      <w:r w:rsidR="00633754">
        <w:t xml:space="preserve">solid phase </w:t>
      </w:r>
      <w:r>
        <w:t xml:space="preserve">yield is </w:t>
      </w:r>
      <w:r w:rsidR="009372E4">
        <w:t xml:space="preserve">also </w:t>
      </w:r>
      <w:r>
        <w:t xml:space="preserve">due to the partitioning of other elements, such as oxygen, in the solid residue (figure 5). In all cases, the solid residue phase was composed predominantly of inorganic matter, with carbon </w:t>
      </w:r>
      <w:r w:rsidR="009372E4">
        <w:t xml:space="preserve">only </w:t>
      </w:r>
      <w:r>
        <w:t xml:space="preserve">making up 3.5–11.8 % of the solid residue by mass. </w:t>
      </w:r>
    </w:p>
    <w:p w14:paraId="15688A67" w14:textId="66925587" w:rsidR="00075A7D" w:rsidRDefault="00075A7D">
      <w:r>
        <w:br w:type="page"/>
      </w:r>
    </w:p>
    <w:p w14:paraId="16E7FA28" w14:textId="77777777" w:rsidR="00075A7D" w:rsidRDefault="00075A7D" w:rsidP="00930EBC">
      <w:pPr>
        <w:spacing w:line="480" w:lineRule="auto"/>
      </w:pPr>
    </w:p>
    <w:p w14:paraId="5BBC19DF" w14:textId="77777777" w:rsidR="0020482B" w:rsidRDefault="0020482B" w:rsidP="00B50382">
      <w:pPr>
        <w:spacing w:line="480" w:lineRule="auto"/>
      </w:pPr>
      <w:r>
        <w:rPr>
          <w:noProof/>
          <w:lang w:eastAsia="en-GB"/>
        </w:rPr>
        <w:drawing>
          <wp:inline distT="0" distB="0" distL="0" distR="0" wp14:anchorId="2D224B84" wp14:editId="2734116C">
            <wp:extent cx="2876400" cy="2448000"/>
            <wp:effectExtent l="0" t="0" r="635"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C96460" w14:textId="408A8BEE" w:rsidR="009C7F4A" w:rsidRDefault="009C7F4A" w:rsidP="00B50382">
      <w:pPr>
        <w:spacing w:line="480" w:lineRule="auto"/>
      </w:pPr>
      <w:r>
        <w:rPr>
          <w:noProof/>
          <w:lang w:eastAsia="en-GB"/>
        </w:rPr>
        <w:drawing>
          <wp:inline distT="0" distB="0" distL="0" distR="0" wp14:anchorId="1E26F584" wp14:editId="0E55F2A3">
            <wp:extent cx="2843530" cy="2178658"/>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39628B" w14:textId="73193203" w:rsidR="0020482B" w:rsidRDefault="0020482B" w:rsidP="005017ED">
      <w:pPr>
        <w:spacing w:line="480" w:lineRule="auto"/>
        <w:jc w:val="center"/>
        <w:rPr>
          <w:sz w:val="20"/>
        </w:rPr>
      </w:pPr>
      <w:r w:rsidRPr="005017ED">
        <w:rPr>
          <w:sz w:val="20"/>
        </w:rPr>
        <w:t xml:space="preserve">Fig. 4 </w:t>
      </w:r>
      <w:r w:rsidR="00BD5955">
        <w:rPr>
          <w:sz w:val="20"/>
        </w:rPr>
        <w:t>a) Total s</w:t>
      </w:r>
      <w:r w:rsidR="005651AD" w:rsidRPr="00930EBC">
        <w:rPr>
          <w:sz w:val="20"/>
        </w:rPr>
        <w:t>olid residue</w:t>
      </w:r>
      <w:r w:rsidR="00BD5955">
        <w:rPr>
          <w:sz w:val="20"/>
        </w:rPr>
        <w:t xml:space="preserve"> yield</w:t>
      </w:r>
      <w:r w:rsidRPr="00930EBC">
        <w:rPr>
          <w:sz w:val="20"/>
        </w:rPr>
        <w:t xml:space="preserve"> for Spirulina processed</w:t>
      </w:r>
      <w:r w:rsidR="00BD5955">
        <w:rPr>
          <w:sz w:val="20"/>
        </w:rPr>
        <w:t xml:space="preserve"> with additional metal sulfates b) the % of carbon from the original biomass that partitioned into the solid residue phase</w:t>
      </w:r>
    </w:p>
    <w:p w14:paraId="5C748967" w14:textId="77777777" w:rsidR="00075A7D" w:rsidRPr="005017ED" w:rsidRDefault="00075A7D" w:rsidP="005017ED">
      <w:pPr>
        <w:spacing w:line="480" w:lineRule="auto"/>
        <w:jc w:val="center"/>
        <w:rPr>
          <w:i/>
          <w:sz w:val="20"/>
        </w:rPr>
      </w:pPr>
    </w:p>
    <w:p w14:paraId="668642DD" w14:textId="77777777" w:rsidR="0020482B" w:rsidRDefault="0020482B" w:rsidP="00B50382">
      <w:pPr>
        <w:spacing w:line="480" w:lineRule="auto"/>
      </w:pPr>
      <w:r w:rsidRPr="00823FA3">
        <w:rPr>
          <w:noProof/>
          <w:lang w:eastAsia="en-GB"/>
        </w:rPr>
        <w:drawing>
          <wp:inline distT="0" distB="0" distL="0" distR="0" wp14:anchorId="03320931" wp14:editId="31974736">
            <wp:extent cx="5632450" cy="2457450"/>
            <wp:effectExtent l="0" t="0" r="6350" b="0"/>
            <wp:docPr id="299" name="Chart 2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C0065B" w14:textId="2E972E65" w:rsidR="0020482B" w:rsidRPr="005017ED" w:rsidRDefault="0020482B" w:rsidP="005017ED">
      <w:pPr>
        <w:spacing w:line="480" w:lineRule="auto"/>
        <w:jc w:val="center"/>
        <w:rPr>
          <w:i/>
          <w:sz w:val="20"/>
        </w:rPr>
      </w:pPr>
      <w:r w:rsidRPr="005017ED">
        <w:rPr>
          <w:sz w:val="20"/>
        </w:rPr>
        <w:t xml:space="preserve">Fig. 5 </w:t>
      </w:r>
      <w:r w:rsidRPr="005017ED">
        <w:rPr>
          <w:i/>
          <w:sz w:val="20"/>
        </w:rPr>
        <w:t xml:space="preserve">Elemental composition of the </w:t>
      </w:r>
      <w:r w:rsidR="005651AD">
        <w:rPr>
          <w:i/>
          <w:sz w:val="20"/>
        </w:rPr>
        <w:t>solid residue</w:t>
      </w:r>
      <w:r w:rsidRPr="005017ED">
        <w:rPr>
          <w:i/>
          <w:sz w:val="20"/>
        </w:rPr>
        <w:t xml:space="preserve"> produced from the hydrothermal liquefaction of Spirulina, showing the </w:t>
      </w:r>
      <w:r w:rsidR="00BB3734">
        <w:rPr>
          <w:i/>
          <w:sz w:val="20"/>
        </w:rPr>
        <w:t>h</w:t>
      </w:r>
      <w:r w:rsidRPr="005017ED">
        <w:rPr>
          <w:i/>
          <w:sz w:val="20"/>
        </w:rPr>
        <w:t>igh uptake scenario and the individual Mg, Zn and Fe sulfates. The full dataset is given in the supporting information</w:t>
      </w:r>
    </w:p>
    <w:p w14:paraId="5EEC2478" w14:textId="77777777" w:rsidR="00930EBC" w:rsidRDefault="00930EBC" w:rsidP="00B50382">
      <w:pPr>
        <w:spacing w:line="480" w:lineRule="auto"/>
      </w:pPr>
    </w:p>
    <w:p w14:paraId="756EF67A" w14:textId="54D921DC" w:rsidR="0020482B" w:rsidRDefault="0020482B" w:rsidP="00BB3734">
      <w:pPr>
        <w:spacing w:line="480" w:lineRule="auto"/>
        <w:jc w:val="both"/>
      </w:pPr>
      <w:r>
        <w:t>This data, coup</w:t>
      </w:r>
      <w:r w:rsidR="00F83A38">
        <w:t>led with the low level of metal</w:t>
      </w:r>
      <w:r>
        <w:t>s detected in the aqueous phase, demonstrates that the vast majority (up to 100 %)</w:t>
      </w:r>
      <w:r w:rsidR="009372E4">
        <w:t xml:space="preserve"> of the added Fe, Zn, Sn and Pb are present in</w:t>
      </w:r>
      <w:r>
        <w:t xml:space="preserve"> the </w:t>
      </w:r>
      <w:r w:rsidR="005651AD">
        <w:t>solid residue</w:t>
      </w:r>
      <w:r>
        <w:t>.</w:t>
      </w:r>
    </w:p>
    <w:p w14:paraId="3CF28CF9" w14:textId="793B20CB" w:rsidR="0020482B" w:rsidRDefault="0020482B" w:rsidP="00BB3734">
      <w:pPr>
        <w:spacing w:line="480" w:lineRule="auto"/>
        <w:jc w:val="both"/>
      </w:pPr>
      <w:r>
        <w:t xml:space="preserve">The </w:t>
      </w:r>
      <w:r w:rsidR="005651AD">
        <w:t>solid residue</w:t>
      </w:r>
      <w:r>
        <w:t xml:space="preserve"> was also examined by SEM (see supporting information). On addition of metals, the physical appearance of the </w:t>
      </w:r>
      <w:r w:rsidR="005651AD">
        <w:t>solid residue</w:t>
      </w:r>
      <w:r>
        <w:t xml:space="preserve"> altered significantly, and the metals were detected in </w:t>
      </w:r>
      <w:r w:rsidR="005651AD">
        <w:t>solid residue</w:t>
      </w:r>
      <w:r>
        <w:t xml:space="preserve"> from metal-containing reactions at levels not observed in the </w:t>
      </w:r>
      <w:r w:rsidR="005651AD">
        <w:t>solid residue</w:t>
      </w:r>
      <w:r>
        <w:t xml:space="preserve"> from Spirulina liquefaction alone. The results are in good agreement with data obtained through ICP-MS</w:t>
      </w:r>
      <w:r w:rsidR="00633754">
        <w:t xml:space="preserve">, </w:t>
      </w:r>
      <w:r>
        <w:t xml:space="preserve"> </w:t>
      </w:r>
      <w:r w:rsidR="00072716">
        <w:t xml:space="preserve">suggesting </w:t>
      </w:r>
      <w:r>
        <w:t xml:space="preserve">that the metals in the </w:t>
      </w:r>
      <w:r w:rsidR="005651AD">
        <w:t>solid residue</w:t>
      </w:r>
      <w:r>
        <w:t xml:space="preserve"> phase are predominantly oxides. The low magnesium content of the mixed-metal additive sample is in agreement with the high magnesium levels detected in the aqueous phase</w:t>
      </w:r>
      <w:r w:rsidR="00633754">
        <w:t>.</w:t>
      </w:r>
    </w:p>
    <w:p w14:paraId="4017009A" w14:textId="431FF25D" w:rsidR="0020482B" w:rsidRPr="00F83A38" w:rsidRDefault="005017ED" w:rsidP="00B50382">
      <w:pPr>
        <w:spacing w:line="480" w:lineRule="auto"/>
        <w:rPr>
          <w:b/>
          <w:sz w:val="24"/>
        </w:rPr>
      </w:pPr>
      <w:r w:rsidRPr="00F83A38">
        <w:rPr>
          <w:b/>
          <w:sz w:val="24"/>
        </w:rPr>
        <w:t>3.</w:t>
      </w:r>
      <w:r w:rsidR="00DA2C71">
        <w:rPr>
          <w:b/>
          <w:sz w:val="24"/>
        </w:rPr>
        <w:t>2</w:t>
      </w:r>
      <w:r w:rsidRPr="00F83A38">
        <w:rPr>
          <w:b/>
          <w:sz w:val="24"/>
        </w:rPr>
        <w:t xml:space="preserve"> HTL of a</w:t>
      </w:r>
      <w:r w:rsidR="0020482B" w:rsidRPr="00F83A38">
        <w:rPr>
          <w:b/>
          <w:sz w:val="24"/>
        </w:rPr>
        <w:t>lgal cultures used in the reme</w:t>
      </w:r>
      <w:r w:rsidRPr="00F83A38">
        <w:rPr>
          <w:b/>
          <w:sz w:val="24"/>
        </w:rPr>
        <w:t xml:space="preserve">diation of </w:t>
      </w:r>
      <w:r w:rsidR="00F83A38">
        <w:rPr>
          <w:b/>
          <w:sz w:val="24"/>
        </w:rPr>
        <w:t>acid mine drainage</w:t>
      </w:r>
    </w:p>
    <w:p w14:paraId="4D7EED1C" w14:textId="33CE6F2A" w:rsidR="0020482B" w:rsidRDefault="000048A7" w:rsidP="00BB3734">
      <w:pPr>
        <w:spacing w:line="480" w:lineRule="auto"/>
        <w:jc w:val="both"/>
      </w:pPr>
      <w:r>
        <w:t xml:space="preserve">Following the positive assessment of the HTL for the model compounds, the HTL process was </w:t>
      </w:r>
      <w:r w:rsidR="00633754">
        <w:t>applied to a natural</w:t>
      </w:r>
      <w:r>
        <w:t xml:space="preserve"> algal community</w:t>
      </w:r>
      <w:r w:rsidR="00633754">
        <w:t xml:space="preserve"> selected for</w:t>
      </w:r>
      <w:r>
        <w:t xml:space="preserve"> </w:t>
      </w:r>
      <w:r w:rsidR="00633754">
        <w:t>cultivation on</w:t>
      </w:r>
      <w:r w:rsidR="00DA214D">
        <w:t xml:space="preserve"> </w:t>
      </w:r>
      <w:r>
        <w:t>AMD. Two scenarios were examined. In both cases</w:t>
      </w:r>
      <w:r w:rsidR="00633754">
        <w:t>,</w:t>
      </w:r>
      <w:r>
        <w:t xml:space="preserve"> the same </w:t>
      </w:r>
      <w:r w:rsidR="00756888">
        <w:t xml:space="preserve">starting </w:t>
      </w:r>
      <w:r>
        <w:t>algal</w:t>
      </w:r>
      <w:r w:rsidR="00756888">
        <w:t xml:space="preserve"> community</w:t>
      </w:r>
      <w:r>
        <w:t xml:space="preserve"> was used. The first scenario, AMD-1,</w:t>
      </w:r>
      <w:r w:rsidR="00177A11">
        <w:t xml:space="preserve"> </w:t>
      </w:r>
      <w:r w:rsidR="00920FDA">
        <w:t>the algae were</w:t>
      </w:r>
      <w:r>
        <w:t xml:space="preserve"> cultured in a low pH</w:t>
      </w:r>
      <w:r w:rsidR="00756888">
        <w:t>,</w:t>
      </w:r>
      <w:r>
        <w:t xml:space="preserve"> </w:t>
      </w:r>
      <w:r w:rsidR="00756888">
        <w:t xml:space="preserve">synthetic </w:t>
      </w:r>
      <w:r>
        <w:t xml:space="preserve">AMD broth. In AMD-2, the algal culture was grown in </w:t>
      </w:r>
      <w:r w:rsidR="00920FDA">
        <w:t xml:space="preserve">real </w:t>
      </w:r>
      <w:r>
        <w:t xml:space="preserve">AMD </w:t>
      </w:r>
      <w:r w:rsidR="00756888">
        <w:t xml:space="preserve">taken from </w:t>
      </w:r>
      <w:r w:rsidR="0094377E">
        <w:t>a former tin mine</w:t>
      </w:r>
      <w:r w:rsidR="0020482B">
        <w:t xml:space="preserve">. </w:t>
      </w:r>
      <w:r w:rsidR="00F26D5C">
        <w:t>310 °C</w:t>
      </w:r>
      <w:r w:rsidR="0020482B">
        <w:t xml:space="preserve"> was selected as the temperature for processing as </w:t>
      </w:r>
      <w:r w:rsidR="0020482B" w:rsidRPr="00997571">
        <w:t xml:space="preserve">this was shown to </w:t>
      </w:r>
      <w:r w:rsidR="0020482B">
        <w:t>give optimised bio-</w:t>
      </w:r>
      <w:r w:rsidR="00351241">
        <w:t>oil</w:t>
      </w:r>
      <w:r w:rsidR="0020482B">
        <w:t xml:space="preserve"> yields. The initial elemental composition of the AMD</w:t>
      </w:r>
      <w:r w:rsidR="009F42EB">
        <w:t>-</w:t>
      </w:r>
      <w:r w:rsidR="0020482B">
        <w:t xml:space="preserve">1 algae </w:t>
      </w:r>
      <w:r w:rsidR="000A111A">
        <w:t>were</w:t>
      </w:r>
      <w:r w:rsidR="0020482B">
        <w:t xml:space="preserve"> similar to the </w:t>
      </w:r>
      <w:r w:rsidR="0020482B" w:rsidRPr="00952A63">
        <w:t>Spirulina</w:t>
      </w:r>
      <w:r w:rsidR="0020482B">
        <w:t>, though due to the increased metal uptake, the AMD</w:t>
      </w:r>
      <w:r w:rsidR="009F42EB">
        <w:t>-</w:t>
      </w:r>
      <w:r w:rsidR="0020482B">
        <w:t>2 biomass was notably different (</w:t>
      </w:r>
      <w:r w:rsidR="00F26D5C">
        <w:t>table 4</w:t>
      </w:r>
      <w:r w:rsidR="0020482B">
        <w:t>). Overall, the</w:t>
      </w:r>
      <w:r w:rsidR="0020482B" w:rsidRPr="00997571">
        <w:t xml:space="preserve"> mass fractions of the four main product components from liquefaction </w:t>
      </w:r>
      <w:r w:rsidR="0020482B">
        <w:t>were similar for AMD</w:t>
      </w:r>
      <w:r w:rsidR="009F42EB">
        <w:t>-</w:t>
      </w:r>
      <w:r w:rsidR="0020482B">
        <w:t>1</w:t>
      </w:r>
      <w:r w:rsidR="0020482B" w:rsidRPr="00997571">
        <w:t xml:space="preserve"> algae </w:t>
      </w:r>
      <w:r w:rsidR="0020482B">
        <w:t>and Spirulina, though the AMD</w:t>
      </w:r>
      <w:r w:rsidR="009F42EB">
        <w:t>-</w:t>
      </w:r>
      <w:r w:rsidR="0020482B">
        <w:t>2 algae produced a far higher</w:t>
      </w:r>
      <w:r w:rsidR="00177A11">
        <w:t xml:space="preserve"> amount of</w:t>
      </w:r>
      <w:r w:rsidR="0020482B">
        <w:t xml:space="preserve"> </w:t>
      </w:r>
      <w:r w:rsidR="005651AD">
        <w:t>solid residue</w:t>
      </w:r>
      <w:r w:rsidR="0020482B">
        <w:t xml:space="preserve"> on liquefaction</w:t>
      </w:r>
      <w:r w:rsidR="00F26D5C">
        <w:t xml:space="preserve"> (figure 6</w:t>
      </w:r>
      <w:r w:rsidR="0020482B">
        <w:t xml:space="preserve">). </w:t>
      </w:r>
    </w:p>
    <w:p w14:paraId="195B2ADC" w14:textId="23C16CD7" w:rsidR="00920FDA" w:rsidRPr="005017ED" w:rsidRDefault="00920FDA" w:rsidP="00920FDA">
      <w:pPr>
        <w:spacing w:line="480" w:lineRule="auto"/>
        <w:jc w:val="center"/>
        <w:rPr>
          <w:sz w:val="20"/>
        </w:rPr>
      </w:pPr>
      <w:r w:rsidRPr="005017ED">
        <w:rPr>
          <w:sz w:val="20"/>
        </w:rPr>
        <w:t>Table 4 Main elemental composition of the algae</w:t>
      </w:r>
      <w:r>
        <w:rPr>
          <w:sz w:val="20"/>
        </w:rPr>
        <w:t xml:space="preserve"> (w/w % dry mass)</w:t>
      </w:r>
      <w:r w:rsidRPr="005017ED">
        <w:rPr>
          <w:sz w:val="20"/>
        </w:rPr>
        <w:t xml:space="preserve"> demonstrating low metal uptake (AMD1) and the algal community demonstrating high metal </w:t>
      </w:r>
      <w:r>
        <w:rPr>
          <w:sz w:val="20"/>
        </w:rPr>
        <w:t>content</w:t>
      </w:r>
      <w:r w:rsidRPr="005017ED">
        <w:rPr>
          <w:sz w:val="20"/>
        </w:rPr>
        <w:t xml:space="preserve"> (AMD2) compared to the Spirulina sample with no additional metal sulfates.</w:t>
      </w:r>
    </w:p>
    <w:tbl>
      <w:tblPr>
        <w:tblStyle w:val="TableGrid"/>
        <w:tblW w:w="9871" w:type="dxa"/>
        <w:tblLayout w:type="fixed"/>
        <w:tblLook w:val="04A0" w:firstRow="1" w:lastRow="0" w:firstColumn="1" w:lastColumn="0" w:noHBand="0" w:noVBand="1"/>
      </w:tblPr>
      <w:tblGrid>
        <w:gridCol w:w="1818"/>
        <w:gridCol w:w="765"/>
        <w:gridCol w:w="765"/>
        <w:gridCol w:w="765"/>
        <w:gridCol w:w="765"/>
        <w:gridCol w:w="765"/>
        <w:gridCol w:w="765"/>
        <w:gridCol w:w="765"/>
        <w:gridCol w:w="830"/>
        <w:gridCol w:w="830"/>
        <w:gridCol w:w="1038"/>
      </w:tblGrid>
      <w:tr w:rsidR="0020482B" w:rsidRPr="00823FA3" w14:paraId="5764CE69" w14:textId="77777777" w:rsidTr="00AA687F">
        <w:trPr>
          <w:trHeight w:val="315"/>
        </w:trPr>
        <w:tc>
          <w:tcPr>
            <w:tcW w:w="1818" w:type="dxa"/>
            <w:noWrap/>
            <w:hideMark/>
          </w:tcPr>
          <w:p w14:paraId="4E6916B3" w14:textId="77777777" w:rsidR="0020482B" w:rsidRPr="00823FA3" w:rsidRDefault="0020482B" w:rsidP="00B50382">
            <w:pPr>
              <w:spacing w:line="480" w:lineRule="auto"/>
              <w:rPr>
                <w:rFonts w:eastAsia="Times New Roman" w:cs="Arial"/>
                <w:lang w:eastAsia="en-GB"/>
              </w:rPr>
            </w:pPr>
          </w:p>
        </w:tc>
        <w:tc>
          <w:tcPr>
            <w:tcW w:w="765" w:type="dxa"/>
            <w:hideMark/>
          </w:tcPr>
          <w:p w14:paraId="3098BC7A" w14:textId="77777777" w:rsidR="0020482B" w:rsidRPr="00823FA3" w:rsidRDefault="0020482B" w:rsidP="00B50382">
            <w:pPr>
              <w:spacing w:line="480" w:lineRule="auto"/>
              <w:jc w:val="center"/>
              <w:rPr>
                <w:rFonts w:eastAsia="Times New Roman" w:cs="Microsoft Sans Serif"/>
                <w:lang w:eastAsia="en-GB"/>
              </w:rPr>
            </w:pPr>
            <w:r w:rsidRPr="00823FA3">
              <w:rPr>
                <w:rFonts w:eastAsia="Times New Roman" w:cs="Microsoft Sans Serif"/>
                <w:lang w:eastAsia="en-GB"/>
              </w:rPr>
              <w:t>C %</w:t>
            </w:r>
          </w:p>
        </w:tc>
        <w:tc>
          <w:tcPr>
            <w:tcW w:w="765" w:type="dxa"/>
            <w:hideMark/>
          </w:tcPr>
          <w:p w14:paraId="6E8359ED" w14:textId="77777777" w:rsidR="0020482B" w:rsidRPr="00823FA3" w:rsidRDefault="0020482B" w:rsidP="00B50382">
            <w:pPr>
              <w:spacing w:line="480" w:lineRule="auto"/>
              <w:jc w:val="center"/>
              <w:rPr>
                <w:rFonts w:eastAsia="Times New Roman" w:cs="Microsoft Sans Serif"/>
                <w:lang w:eastAsia="en-GB"/>
              </w:rPr>
            </w:pPr>
            <w:r w:rsidRPr="00823FA3">
              <w:rPr>
                <w:rFonts w:eastAsia="Times New Roman" w:cs="Microsoft Sans Serif"/>
                <w:lang w:eastAsia="en-GB"/>
              </w:rPr>
              <w:t>H %</w:t>
            </w:r>
          </w:p>
        </w:tc>
        <w:tc>
          <w:tcPr>
            <w:tcW w:w="765" w:type="dxa"/>
            <w:hideMark/>
          </w:tcPr>
          <w:p w14:paraId="401DCF7C" w14:textId="77777777" w:rsidR="0020482B" w:rsidRPr="00823FA3" w:rsidRDefault="0020482B" w:rsidP="00B50382">
            <w:pPr>
              <w:spacing w:line="480" w:lineRule="auto"/>
              <w:jc w:val="center"/>
              <w:rPr>
                <w:rFonts w:eastAsia="Times New Roman" w:cs="Microsoft Sans Serif"/>
                <w:lang w:eastAsia="en-GB"/>
              </w:rPr>
            </w:pPr>
            <w:r w:rsidRPr="00823FA3">
              <w:rPr>
                <w:rFonts w:eastAsia="Times New Roman" w:cs="Microsoft Sans Serif"/>
                <w:lang w:eastAsia="en-GB"/>
              </w:rPr>
              <w:t>N %</w:t>
            </w:r>
          </w:p>
        </w:tc>
        <w:tc>
          <w:tcPr>
            <w:tcW w:w="765" w:type="dxa"/>
          </w:tcPr>
          <w:p w14:paraId="52ADA196" w14:textId="77777777" w:rsidR="0020482B" w:rsidRPr="00823FA3" w:rsidRDefault="0020482B" w:rsidP="00B50382">
            <w:pPr>
              <w:spacing w:line="480" w:lineRule="auto"/>
              <w:jc w:val="center"/>
              <w:rPr>
                <w:rFonts w:eastAsia="Times New Roman" w:cs="Microsoft Sans Serif"/>
                <w:lang w:eastAsia="en-GB"/>
              </w:rPr>
            </w:pPr>
            <w:r w:rsidRPr="00823FA3">
              <w:rPr>
                <w:rFonts w:eastAsia="Times New Roman" w:cs="Microsoft Sans Serif"/>
                <w:lang w:eastAsia="en-GB"/>
              </w:rPr>
              <w:t>P %</w:t>
            </w:r>
          </w:p>
        </w:tc>
        <w:tc>
          <w:tcPr>
            <w:tcW w:w="765" w:type="dxa"/>
            <w:hideMark/>
          </w:tcPr>
          <w:p w14:paraId="6A1CD3A7" w14:textId="77777777" w:rsidR="0020482B" w:rsidRPr="00823FA3" w:rsidRDefault="0020482B" w:rsidP="00B50382">
            <w:pPr>
              <w:spacing w:line="480" w:lineRule="auto"/>
              <w:jc w:val="center"/>
              <w:rPr>
                <w:rFonts w:eastAsia="Times New Roman" w:cs="Microsoft Sans Serif"/>
                <w:lang w:eastAsia="en-GB"/>
              </w:rPr>
            </w:pPr>
            <w:r w:rsidRPr="00823FA3">
              <w:rPr>
                <w:rFonts w:eastAsia="Times New Roman" w:cs="Microsoft Sans Serif"/>
                <w:lang w:eastAsia="en-GB"/>
              </w:rPr>
              <w:t>Mg %</w:t>
            </w:r>
          </w:p>
        </w:tc>
        <w:tc>
          <w:tcPr>
            <w:tcW w:w="765" w:type="dxa"/>
          </w:tcPr>
          <w:p w14:paraId="6EF0978A" w14:textId="77777777" w:rsidR="0020482B" w:rsidRPr="00823FA3" w:rsidRDefault="0020482B" w:rsidP="00B50382">
            <w:pPr>
              <w:spacing w:line="480" w:lineRule="auto"/>
              <w:jc w:val="center"/>
              <w:rPr>
                <w:rFonts w:eastAsia="Times New Roman" w:cs="Microsoft Sans Serif"/>
                <w:lang w:eastAsia="en-GB"/>
              </w:rPr>
            </w:pPr>
            <w:r w:rsidRPr="00823FA3">
              <w:rPr>
                <w:rFonts w:eastAsia="Times New Roman" w:cs="Microsoft Sans Serif"/>
                <w:lang w:eastAsia="en-GB"/>
              </w:rPr>
              <w:t>Zn %</w:t>
            </w:r>
          </w:p>
        </w:tc>
        <w:tc>
          <w:tcPr>
            <w:tcW w:w="765" w:type="dxa"/>
            <w:hideMark/>
          </w:tcPr>
          <w:p w14:paraId="1EF27C3A" w14:textId="77777777" w:rsidR="0020482B" w:rsidRPr="00823FA3" w:rsidRDefault="0020482B" w:rsidP="00B50382">
            <w:pPr>
              <w:spacing w:line="480" w:lineRule="auto"/>
              <w:jc w:val="center"/>
              <w:rPr>
                <w:rFonts w:eastAsia="Times New Roman" w:cs="Microsoft Sans Serif"/>
                <w:lang w:eastAsia="en-GB"/>
              </w:rPr>
            </w:pPr>
            <w:r w:rsidRPr="00823FA3">
              <w:rPr>
                <w:rFonts w:eastAsia="Times New Roman" w:cs="Microsoft Sans Serif"/>
                <w:lang w:eastAsia="en-GB"/>
              </w:rPr>
              <w:t>Fe %</w:t>
            </w:r>
          </w:p>
        </w:tc>
        <w:tc>
          <w:tcPr>
            <w:tcW w:w="830" w:type="dxa"/>
            <w:hideMark/>
          </w:tcPr>
          <w:p w14:paraId="5794708C" w14:textId="77777777" w:rsidR="0020482B" w:rsidRPr="00823FA3" w:rsidRDefault="0020482B" w:rsidP="00B50382">
            <w:pPr>
              <w:spacing w:line="480" w:lineRule="auto"/>
              <w:jc w:val="center"/>
              <w:rPr>
                <w:rFonts w:eastAsia="Times New Roman" w:cs="Microsoft Sans Serif"/>
                <w:lang w:eastAsia="en-GB"/>
              </w:rPr>
            </w:pPr>
            <w:r w:rsidRPr="00823FA3">
              <w:rPr>
                <w:rFonts w:eastAsia="Times New Roman" w:cs="Microsoft Sans Serif"/>
                <w:lang w:eastAsia="en-GB"/>
              </w:rPr>
              <w:t>Sn %</w:t>
            </w:r>
          </w:p>
        </w:tc>
        <w:tc>
          <w:tcPr>
            <w:tcW w:w="830" w:type="dxa"/>
            <w:hideMark/>
          </w:tcPr>
          <w:p w14:paraId="74AE7C87" w14:textId="77777777" w:rsidR="0020482B" w:rsidRPr="00823FA3" w:rsidRDefault="0020482B" w:rsidP="00B50382">
            <w:pPr>
              <w:spacing w:line="480" w:lineRule="auto"/>
              <w:jc w:val="center"/>
              <w:rPr>
                <w:rFonts w:eastAsia="Times New Roman" w:cs="Microsoft Sans Serif"/>
                <w:lang w:eastAsia="en-GB"/>
              </w:rPr>
            </w:pPr>
            <w:r w:rsidRPr="00823FA3">
              <w:rPr>
                <w:rFonts w:eastAsia="Times New Roman" w:cs="Microsoft Sans Serif"/>
                <w:lang w:eastAsia="en-GB"/>
              </w:rPr>
              <w:t>Pb %</w:t>
            </w:r>
          </w:p>
        </w:tc>
        <w:tc>
          <w:tcPr>
            <w:tcW w:w="1038" w:type="dxa"/>
            <w:hideMark/>
          </w:tcPr>
          <w:p w14:paraId="64EC46CB" w14:textId="77777777" w:rsidR="0020482B" w:rsidRPr="00823FA3" w:rsidRDefault="0020482B" w:rsidP="00B50382">
            <w:pPr>
              <w:spacing w:line="480" w:lineRule="auto"/>
              <w:jc w:val="center"/>
              <w:rPr>
                <w:rFonts w:eastAsia="Times New Roman" w:cs="Microsoft Sans Serif"/>
                <w:lang w:eastAsia="en-GB"/>
              </w:rPr>
            </w:pPr>
            <w:r w:rsidRPr="00823FA3">
              <w:rPr>
                <w:rFonts w:eastAsia="Times New Roman" w:cs="Microsoft Sans Serif"/>
                <w:lang w:eastAsia="en-GB"/>
              </w:rPr>
              <w:t>other %</w:t>
            </w:r>
          </w:p>
        </w:tc>
      </w:tr>
      <w:tr w:rsidR="0020482B" w:rsidRPr="00823FA3" w14:paraId="65F2413A" w14:textId="77777777" w:rsidTr="00AA687F">
        <w:trPr>
          <w:trHeight w:val="255"/>
        </w:trPr>
        <w:tc>
          <w:tcPr>
            <w:tcW w:w="1818" w:type="dxa"/>
            <w:noWrap/>
            <w:hideMark/>
          </w:tcPr>
          <w:p w14:paraId="514F64DD" w14:textId="77777777" w:rsidR="0020482B" w:rsidRPr="00823FA3" w:rsidRDefault="0020482B" w:rsidP="00B50382">
            <w:pPr>
              <w:spacing w:line="480" w:lineRule="auto"/>
              <w:rPr>
                <w:rFonts w:eastAsia="Times New Roman" w:cs="Arial"/>
                <w:lang w:eastAsia="en-GB"/>
              </w:rPr>
            </w:pPr>
            <w:r w:rsidRPr="00823FA3">
              <w:rPr>
                <w:rFonts w:eastAsia="Times New Roman" w:cs="Arial"/>
                <w:lang w:eastAsia="en-GB"/>
              </w:rPr>
              <w:t>Spirulina</w:t>
            </w:r>
          </w:p>
        </w:tc>
        <w:tc>
          <w:tcPr>
            <w:tcW w:w="765" w:type="dxa"/>
            <w:noWrap/>
            <w:hideMark/>
          </w:tcPr>
          <w:p w14:paraId="6DDD6081"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43.47</w:t>
            </w:r>
          </w:p>
        </w:tc>
        <w:tc>
          <w:tcPr>
            <w:tcW w:w="765" w:type="dxa"/>
            <w:noWrap/>
            <w:hideMark/>
          </w:tcPr>
          <w:p w14:paraId="60CC161E"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5.76</w:t>
            </w:r>
          </w:p>
        </w:tc>
        <w:tc>
          <w:tcPr>
            <w:tcW w:w="765" w:type="dxa"/>
            <w:noWrap/>
            <w:hideMark/>
          </w:tcPr>
          <w:p w14:paraId="1079746A"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9.74</w:t>
            </w:r>
          </w:p>
        </w:tc>
        <w:tc>
          <w:tcPr>
            <w:tcW w:w="765" w:type="dxa"/>
          </w:tcPr>
          <w:p w14:paraId="1E73AF1F"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2.06</w:t>
            </w:r>
          </w:p>
        </w:tc>
        <w:tc>
          <w:tcPr>
            <w:tcW w:w="765" w:type="dxa"/>
            <w:noWrap/>
            <w:hideMark/>
          </w:tcPr>
          <w:p w14:paraId="5711FCF8"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0.39</w:t>
            </w:r>
          </w:p>
        </w:tc>
        <w:tc>
          <w:tcPr>
            <w:tcW w:w="765" w:type="dxa"/>
          </w:tcPr>
          <w:p w14:paraId="6822A596"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0.00</w:t>
            </w:r>
          </w:p>
        </w:tc>
        <w:tc>
          <w:tcPr>
            <w:tcW w:w="765" w:type="dxa"/>
            <w:noWrap/>
            <w:hideMark/>
          </w:tcPr>
          <w:p w14:paraId="14375020"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0.13</w:t>
            </w:r>
          </w:p>
        </w:tc>
        <w:tc>
          <w:tcPr>
            <w:tcW w:w="830" w:type="dxa"/>
            <w:noWrap/>
            <w:hideMark/>
          </w:tcPr>
          <w:p w14:paraId="29098CEE" w14:textId="77777777" w:rsidR="0020482B" w:rsidRPr="00823FA3" w:rsidRDefault="0020482B" w:rsidP="00B50382">
            <w:pPr>
              <w:spacing w:line="480" w:lineRule="auto"/>
              <w:jc w:val="center"/>
              <w:rPr>
                <w:rFonts w:eastAsia="Times New Roman" w:cs="Arial"/>
                <w:lang w:eastAsia="en-GB"/>
              </w:rPr>
            </w:pPr>
            <w:r w:rsidRPr="00823FA3">
              <w:rPr>
                <w:rFonts w:cs="Arial"/>
              </w:rPr>
              <w:t>0.0001</w:t>
            </w:r>
          </w:p>
        </w:tc>
        <w:tc>
          <w:tcPr>
            <w:tcW w:w="830" w:type="dxa"/>
            <w:noWrap/>
            <w:hideMark/>
          </w:tcPr>
          <w:p w14:paraId="6E704DDD" w14:textId="77777777" w:rsidR="0020482B" w:rsidRPr="00823FA3" w:rsidRDefault="0020482B" w:rsidP="00B50382">
            <w:pPr>
              <w:spacing w:line="480" w:lineRule="auto"/>
              <w:jc w:val="center"/>
              <w:rPr>
                <w:rFonts w:eastAsia="Times New Roman" w:cs="Arial"/>
                <w:lang w:eastAsia="en-GB"/>
              </w:rPr>
            </w:pPr>
            <w:r w:rsidRPr="00823FA3">
              <w:rPr>
                <w:rFonts w:cs="Arial"/>
              </w:rPr>
              <w:t>0.0003</w:t>
            </w:r>
          </w:p>
        </w:tc>
        <w:tc>
          <w:tcPr>
            <w:tcW w:w="1038" w:type="dxa"/>
            <w:noWrap/>
            <w:hideMark/>
          </w:tcPr>
          <w:p w14:paraId="65681B75"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38.46</w:t>
            </w:r>
          </w:p>
        </w:tc>
      </w:tr>
      <w:tr w:rsidR="0020482B" w:rsidRPr="00823FA3" w14:paraId="14624CD8" w14:textId="77777777" w:rsidTr="00AA687F">
        <w:trPr>
          <w:trHeight w:val="255"/>
        </w:trPr>
        <w:tc>
          <w:tcPr>
            <w:tcW w:w="1818" w:type="dxa"/>
            <w:noWrap/>
            <w:hideMark/>
          </w:tcPr>
          <w:p w14:paraId="19BD333A" w14:textId="118B7301" w:rsidR="0020482B" w:rsidRPr="00823FA3" w:rsidRDefault="00815FFE" w:rsidP="00B50382">
            <w:pPr>
              <w:spacing w:line="480" w:lineRule="auto"/>
              <w:rPr>
                <w:rFonts w:eastAsia="Times New Roman" w:cs="Arial"/>
                <w:lang w:eastAsia="en-GB"/>
              </w:rPr>
            </w:pPr>
            <w:r>
              <w:rPr>
                <w:rFonts w:eastAsia="Times New Roman" w:cs="Arial"/>
                <w:lang w:eastAsia="en-GB"/>
              </w:rPr>
              <w:t>AMD</w:t>
            </w:r>
            <w:r w:rsidR="009F42EB">
              <w:rPr>
                <w:rFonts w:eastAsia="Times New Roman" w:cs="Arial"/>
                <w:lang w:eastAsia="en-GB"/>
              </w:rPr>
              <w:t>-</w:t>
            </w:r>
            <w:r>
              <w:rPr>
                <w:rFonts w:eastAsia="Times New Roman" w:cs="Arial"/>
                <w:lang w:eastAsia="en-GB"/>
              </w:rPr>
              <w:t>1</w:t>
            </w:r>
          </w:p>
        </w:tc>
        <w:tc>
          <w:tcPr>
            <w:tcW w:w="765" w:type="dxa"/>
            <w:noWrap/>
            <w:hideMark/>
          </w:tcPr>
          <w:p w14:paraId="0A62F3CB"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47.58</w:t>
            </w:r>
          </w:p>
        </w:tc>
        <w:tc>
          <w:tcPr>
            <w:tcW w:w="765" w:type="dxa"/>
            <w:noWrap/>
            <w:hideMark/>
          </w:tcPr>
          <w:p w14:paraId="112F5D4F"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6.95</w:t>
            </w:r>
          </w:p>
        </w:tc>
        <w:tc>
          <w:tcPr>
            <w:tcW w:w="765" w:type="dxa"/>
            <w:noWrap/>
            <w:hideMark/>
          </w:tcPr>
          <w:p w14:paraId="611B59C4"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8.95</w:t>
            </w:r>
          </w:p>
        </w:tc>
        <w:tc>
          <w:tcPr>
            <w:tcW w:w="765" w:type="dxa"/>
          </w:tcPr>
          <w:p w14:paraId="714FABA3"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2.25</w:t>
            </w:r>
          </w:p>
        </w:tc>
        <w:tc>
          <w:tcPr>
            <w:tcW w:w="765" w:type="dxa"/>
            <w:noWrap/>
            <w:hideMark/>
          </w:tcPr>
          <w:p w14:paraId="18787A96"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0.32</w:t>
            </w:r>
          </w:p>
        </w:tc>
        <w:tc>
          <w:tcPr>
            <w:tcW w:w="765" w:type="dxa"/>
          </w:tcPr>
          <w:p w14:paraId="61039565"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0.27</w:t>
            </w:r>
          </w:p>
        </w:tc>
        <w:tc>
          <w:tcPr>
            <w:tcW w:w="765" w:type="dxa"/>
            <w:noWrap/>
            <w:hideMark/>
          </w:tcPr>
          <w:p w14:paraId="618739C7"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0.46</w:t>
            </w:r>
          </w:p>
        </w:tc>
        <w:tc>
          <w:tcPr>
            <w:tcW w:w="830" w:type="dxa"/>
            <w:noWrap/>
            <w:hideMark/>
          </w:tcPr>
          <w:p w14:paraId="1BC06B53" w14:textId="77777777" w:rsidR="0020482B" w:rsidRPr="00823FA3" w:rsidRDefault="0020482B" w:rsidP="00B50382">
            <w:pPr>
              <w:spacing w:line="480" w:lineRule="auto"/>
              <w:jc w:val="center"/>
              <w:rPr>
                <w:rFonts w:eastAsia="Times New Roman" w:cs="Arial"/>
                <w:lang w:eastAsia="en-GB"/>
              </w:rPr>
            </w:pPr>
            <w:r w:rsidRPr="00823FA3">
              <w:rPr>
                <w:rFonts w:cs="Arial"/>
              </w:rPr>
              <w:t>0.0014</w:t>
            </w:r>
          </w:p>
        </w:tc>
        <w:tc>
          <w:tcPr>
            <w:tcW w:w="830" w:type="dxa"/>
            <w:noWrap/>
            <w:hideMark/>
          </w:tcPr>
          <w:p w14:paraId="3FE2156F" w14:textId="77777777" w:rsidR="0020482B" w:rsidRPr="00823FA3" w:rsidRDefault="0020482B" w:rsidP="00B50382">
            <w:pPr>
              <w:spacing w:line="480" w:lineRule="auto"/>
              <w:jc w:val="center"/>
              <w:rPr>
                <w:rFonts w:eastAsia="Times New Roman" w:cs="Arial"/>
                <w:lang w:eastAsia="en-GB"/>
              </w:rPr>
            </w:pPr>
            <w:r w:rsidRPr="00823FA3">
              <w:rPr>
                <w:rFonts w:cs="Arial"/>
              </w:rPr>
              <w:t>0.0117</w:t>
            </w:r>
          </w:p>
        </w:tc>
        <w:tc>
          <w:tcPr>
            <w:tcW w:w="1038" w:type="dxa"/>
            <w:noWrap/>
            <w:hideMark/>
          </w:tcPr>
          <w:p w14:paraId="5F5D2BB3"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33.23</w:t>
            </w:r>
          </w:p>
        </w:tc>
      </w:tr>
      <w:tr w:rsidR="0020482B" w:rsidRPr="00823FA3" w14:paraId="5017D73D" w14:textId="77777777" w:rsidTr="00AA687F">
        <w:trPr>
          <w:trHeight w:val="255"/>
        </w:trPr>
        <w:tc>
          <w:tcPr>
            <w:tcW w:w="1818" w:type="dxa"/>
            <w:noWrap/>
            <w:hideMark/>
          </w:tcPr>
          <w:p w14:paraId="1A2AB3A4" w14:textId="2DC7B18D" w:rsidR="0020482B" w:rsidRPr="00823FA3" w:rsidRDefault="00815FFE" w:rsidP="00B50382">
            <w:pPr>
              <w:spacing w:line="480" w:lineRule="auto"/>
              <w:rPr>
                <w:rFonts w:eastAsia="Times New Roman" w:cs="Arial"/>
                <w:lang w:eastAsia="en-GB"/>
              </w:rPr>
            </w:pPr>
            <w:r>
              <w:rPr>
                <w:rFonts w:eastAsia="Times New Roman" w:cs="Arial"/>
                <w:lang w:eastAsia="en-GB"/>
              </w:rPr>
              <w:t>AMD</w:t>
            </w:r>
            <w:r w:rsidR="009F42EB">
              <w:rPr>
                <w:rFonts w:eastAsia="Times New Roman" w:cs="Arial"/>
                <w:lang w:eastAsia="en-GB"/>
              </w:rPr>
              <w:t>-</w:t>
            </w:r>
            <w:r>
              <w:rPr>
                <w:rFonts w:eastAsia="Times New Roman" w:cs="Arial"/>
                <w:lang w:eastAsia="en-GB"/>
              </w:rPr>
              <w:t>2</w:t>
            </w:r>
          </w:p>
        </w:tc>
        <w:tc>
          <w:tcPr>
            <w:tcW w:w="765" w:type="dxa"/>
            <w:noWrap/>
            <w:hideMark/>
          </w:tcPr>
          <w:p w14:paraId="733A64C1"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17.56</w:t>
            </w:r>
          </w:p>
        </w:tc>
        <w:tc>
          <w:tcPr>
            <w:tcW w:w="765" w:type="dxa"/>
            <w:noWrap/>
            <w:hideMark/>
          </w:tcPr>
          <w:p w14:paraId="22383993"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3.37</w:t>
            </w:r>
          </w:p>
        </w:tc>
        <w:tc>
          <w:tcPr>
            <w:tcW w:w="765" w:type="dxa"/>
            <w:noWrap/>
            <w:hideMark/>
          </w:tcPr>
          <w:p w14:paraId="620580CF" w14:textId="77777777" w:rsidR="0020482B" w:rsidRPr="00823FA3" w:rsidRDefault="0020482B" w:rsidP="00B50382">
            <w:pPr>
              <w:spacing w:line="480" w:lineRule="auto"/>
              <w:jc w:val="center"/>
              <w:rPr>
                <w:rFonts w:eastAsia="Times New Roman" w:cs="Arial"/>
                <w:bCs/>
                <w:lang w:eastAsia="en-GB"/>
              </w:rPr>
            </w:pPr>
            <w:r w:rsidRPr="00823FA3">
              <w:rPr>
                <w:rFonts w:eastAsia="Times New Roman" w:cs="Arial"/>
                <w:bCs/>
                <w:lang w:eastAsia="en-GB"/>
              </w:rPr>
              <w:t>2.89</w:t>
            </w:r>
          </w:p>
        </w:tc>
        <w:tc>
          <w:tcPr>
            <w:tcW w:w="765" w:type="dxa"/>
          </w:tcPr>
          <w:p w14:paraId="082B7F30"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2.42</w:t>
            </w:r>
          </w:p>
        </w:tc>
        <w:tc>
          <w:tcPr>
            <w:tcW w:w="765" w:type="dxa"/>
            <w:noWrap/>
            <w:hideMark/>
          </w:tcPr>
          <w:p w14:paraId="07BAFCD4"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0.10</w:t>
            </w:r>
          </w:p>
        </w:tc>
        <w:tc>
          <w:tcPr>
            <w:tcW w:w="765" w:type="dxa"/>
          </w:tcPr>
          <w:p w14:paraId="2B8200D2"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0.04</w:t>
            </w:r>
          </w:p>
        </w:tc>
        <w:tc>
          <w:tcPr>
            <w:tcW w:w="765" w:type="dxa"/>
            <w:noWrap/>
            <w:hideMark/>
          </w:tcPr>
          <w:p w14:paraId="35664DC9" w14:textId="77777777" w:rsidR="0020482B" w:rsidRPr="00823FA3" w:rsidRDefault="0020482B" w:rsidP="00B50382">
            <w:pPr>
              <w:spacing w:line="480" w:lineRule="auto"/>
              <w:jc w:val="center"/>
              <w:rPr>
                <w:rFonts w:eastAsia="Times New Roman" w:cs="Arial"/>
                <w:lang w:eastAsia="en-GB"/>
              </w:rPr>
            </w:pPr>
            <w:r w:rsidRPr="00823FA3">
              <w:rPr>
                <w:rFonts w:eastAsia="Times New Roman" w:cs="Arial"/>
                <w:lang w:eastAsia="en-GB"/>
              </w:rPr>
              <w:t>23.44</w:t>
            </w:r>
          </w:p>
        </w:tc>
        <w:tc>
          <w:tcPr>
            <w:tcW w:w="830" w:type="dxa"/>
            <w:noWrap/>
            <w:hideMark/>
          </w:tcPr>
          <w:p w14:paraId="30C2D52A" w14:textId="77777777" w:rsidR="0020482B" w:rsidRPr="00823FA3" w:rsidRDefault="0020482B" w:rsidP="00B50382">
            <w:pPr>
              <w:spacing w:line="480" w:lineRule="auto"/>
              <w:jc w:val="center"/>
              <w:rPr>
                <w:rFonts w:eastAsia="Times New Roman" w:cs="Arial"/>
                <w:lang w:eastAsia="en-GB"/>
              </w:rPr>
            </w:pPr>
            <w:r w:rsidRPr="00823FA3">
              <w:rPr>
                <w:rFonts w:cs="Arial"/>
              </w:rPr>
              <w:t>0.0003</w:t>
            </w:r>
          </w:p>
        </w:tc>
        <w:tc>
          <w:tcPr>
            <w:tcW w:w="830" w:type="dxa"/>
            <w:noWrap/>
            <w:hideMark/>
          </w:tcPr>
          <w:p w14:paraId="3D786820" w14:textId="77777777" w:rsidR="0020482B" w:rsidRPr="00823FA3" w:rsidRDefault="0020482B" w:rsidP="00B50382">
            <w:pPr>
              <w:spacing w:line="480" w:lineRule="auto"/>
              <w:jc w:val="center"/>
              <w:rPr>
                <w:rFonts w:eastAsia="Times New Roman" w:cs="Arial"/>
                <w:lang w:eastAsia="en-GB"/>
              </w:rPr>
            </w:pPr>
            <w:r w:rsidRPr="00823FA3">
              <w:rPr>
                <w:rFonts w:cs="Arial"/>
              </w:rPr>
              <w:t>0.0015</w:t>
            </w:r>
          </w:p>
        </w:tc>
        <w:tc>
          <w:tcPr>
            <w:tcW w:w="1038" w:type="dxa"/>
            <w:noWrap/>
            <w:hideMark/>
          </w:tcPr>
          <w:p w14:paraId="4F3F727C" w14:textId="77777777" w:rsidR="0020482B" w:rsidRPr="00823FA3" w:rsidRDefault="0020482B" w:rsidP="00B50382">
            <w:pPr>
              <w:keepNext/>
              <w:spacing w:line="480" w:lineRule="auto"/>
              <w:jc w:val="center"/>
              <w:rPr>
                <w:rFonts w:eastAsia="Times New Roman" w:cs="Arial"/>
                <w:bCs/>
                <w:lang w:eastAsia="en-GB"/>
              </w:rPr>
            </w:pPr>
            <w:r w:rsidRPr="00823FA3">
              <w:rPr>
                <w:rFonts w:eastAsia="Times New Roman" w:cs="Arial"/>
                <w:bCs/>
                <w:lang w:eastAsia="en-GB"/>
              </w:rPr>
              <w:t>50.18</w:t>
            </w:r>
          </w:p>
        </w:tc>
      </w:tr>
    </w:tbl>
    <w:p w14:paraId="480C85E5" w14:textId="77777777" w:rsidR="007A4807" w:rsidRDefault="007A4807" w:rsidP="007A4807">
      <w:pPr>
        <w:spacing w:line="480" w:lineRule="auto"/>
        <w:jc w:val="center"/>
      </w:pPr>
    </w:p>
    <w:p w14:paraId="19FD5483" w14:textId="77777777" w:rsidR="0020482B" w:rsidRDefault="00077DF8" w:rsidP="007A4807">
      <w:pPr>
        <w:spacing w:line="480" w:lineRule="auto"/>
        <w:jc w:val="center"/>
      </w:pPr>
      <w:r w:rsidRPr="00077DF8">
        <w:rPr>
          <w:noProof/>
          <w:color w:val="FFFFFF" w:themeColor="background1"/>
          <w:lang w:eastAsia="en-GB"/>
        </w:rPr>
        <w:drawing>
          <wp:inline distT="0" distB="0" distL="0" distR="0" wp14:anchorId="1393B51E" wp14:editId="50A6703A">
            <wp:extent cx="2844000" cy="2412000"/>
            <wp:effectExtent l="0" t="0" r="0" b="762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9FEB93" w14:textId="499B1BDF" w:rsidR="0020482B" w:rsidRPr="005017ED" w:rsidRDefault="0020482B" w:rsidP="005017ED">
      <w:pPr>
        <w:spacing w:line="480" w:lineRule="auto"/>
        <w:jc w:val="center"/>
        <w:rPr>
          <w:sz w:val="20"/>
        </w:rPr>
      </w:pPr>
      <w:r w:rsidRPr="005017ED">
        <w:rPr>
          <w:sz w:val="20"/>
        </w:rPr>
        <w:t>Fig. 6 Mass balance for the algae used in the remediation of acid mine drainage on being processed by HTL</w:t>
      </w:r>
      <w:r w:rsidR="00F26D5C" w:rsidRPr="005017ED">
        <w:rPr>
          <w:sz w:val="20"/>
        </w:rPr>
        <w:t>.</w:t>
      </w:r>
      <w:r w:rsidR="00177A11">
        <w:rPr>
          <w:sz w:val="20"/>
        </w:rPr>
        <w:t xml:space="preserve"> The percentages given were calculated from the weight of the original starting material on drying</w:t>
      </w:r>
      <w:r w:rsidR="006F60EF">
        <w:rPr>
          <w:sz w:val="20"/>
        </w:rPr>
        <w:t xml:space="preserve"> (biomass and any metals remediated from the AMD)</w:t>
      </w:r>
      <w:r w:rsidR="00177A11">
        <w:rPr>
          <w:sz w:val="20"/>
        </w:rPr>
        <w:t>.</w:t>
      </w:r>
      <w:r w:rsidR="00F26D5C" w:rsidRPr="005017ED">
        <w:rPr>
          <w:sz w:val="20"/>
        </w:rPr>
        <w:t xml:space="preserve"> </w:t>
      </w:r>
    </w:p>
    <w:p w14:paraId="20FA28B9" w14:textId="4E09601B" w:rsidR="00815FFE" w:rsidRPr="002E14CB" w:rsidRDefault="00920FDA" w:rsidP="002E14CB">
      <w:pPr>
        <w:spacing w:line="480" w:lineRule="auto"/>
        <w:jc w:val="center"/>
        <w:rPr>
          <w:sz w:val="20"/>
        </w:rPr>
      </w:pPr>
      <w:r w:rsidRPr="005017ED">
        <w:rPr>
          <w:sz w:val="20"/>
        </w:rPr>
        <w:t>Table 5. Yields of bio</w:t>
      </w:r>
      <w:r w:rsidR="006F60EF">
        <w:rPr>
          <w:sz w:val="20"/>
        </w:rPr>
        <w:t>-</w:t>
      </w:r>
      <w:r w:rsidR="00351241">
        <w:rPr>
          <w:sz w:val="20"/>
        </w:rPr>
        <w:t>oil</w:t>
      </w:r>
      <w:r w:rsidRPr="005017ED">
        <w:rPr>
          <w:sz w:val="20"/>
        </w:rPr>
        <w:t xml:space="preserve"> from the hydrothermal processing of the algae used in the remediation of acid mine drainage compared with Spirulina</w:t>
      </w:r>
    </w:p>
    <w:tbl>
      <w:tblPr>
        <w:tblStyle w:val="TableGrid"/>
        <w:tblpPr w:leftFromText="180" w:rightFromText="180" w:vertAnchor="text" w:horzAnchor="margin" w:tblpY="17"/>
        <w:tblW w:w="8767" w:type="dxa"/>
        <w:tblLayout w:type="fixed"/>
        <w:tblLook w:val="04A0" w:firstRow="1" w:lastRow="0" w:firstColumn="1" w:lastColumn="0" w:noHBand="0" w:noVBand="1"/>
      </w:tblPr>
      <w:tblGrid>
        <w:gridCol w:w="2359"/>
        <w:gridCol w:w="1885"/>
        <w:gridCol w:w="704"/>
        <w:gridCol w:w="705"/>
        <w:gridCol w:w="705"/>
        <w:gridCol w:w="963"/>
        <w:gridCol w:w="1446"/>
      </w:tblGrid>
      <w:tr w:rsidR="0020482B" w:rsidRPr="00823FA3" w14:paraId="0882CBD7" w14:textId="77777777" w:rsidTr="00AA687F">
        <w:trPr>
          <w:trHeight w:val="300"/>
        </w:trPr>
        <w:tc>
          <w:tcPr>
            <w:tcW w:w="2359" w:type="dxa"/>
          </w:tcPr>
          <w:p w14:paraId="37F8F3A2" w14:textId="77777777" w:rsidR="0020482B" w:rsidRPr="00823FA3" w:rsidRDefault="0020482B" w:rsidP="00B50382">
            <w:pPr>
              <w:spacing w:line="480" w:lineRule="auto"/>
              <w:jc w:val="both"/>
              <w:rPr>
                <w:rFonts w:ascii="Calibri" w:eastAsia="Times New Roman" w:hAnsi="Calibri" w:cs="Times New Roman"/>
                <w:sz w:val="20"/>
                <w:szCs w:val="20"/>
                <w:lang w:eastAsia="en-GB"/>
              </w:rPr>
            </w:pPr>
          </w:p>
        </w:tc>
        <w:tc>
          <w:tcPr>
            <w:tcW w:w="1885" w:type="dxa"/>
          </w:tcPr>
          <w:p w14:paraId="64A7710E" w14:textId="7714EF90" w:rsidR="0020482B" w:rsidRPr="00823FA3" w:rsidRDefault="0020482B" w:rsidP="00B50382">
            <w:pPr>
              <w:spacing w:line="480" w:lineRule="auto"/>
              <w:jc w:val="both"/>
              <w:rPr>
                <w:rFonts w:ascii="Calibri" w:eastAsia="Times New Roman" w:hAnsi="Calibri" w:cs="Times New Roman"/>
                <w:sz w:val="20"/>
                <w:szCs w:val="20"/>
                <w:lang w:eastAsia="en-GB"/>
              </w:rPr>
            </w:pPr>
            <w:r w:rsidRPr="00823FA3">
              <w:rPr>
                <w:rFonts w:ascii="Calibri" w:eastAsia="Times New Roman" w:hAnsi="Calibri" w:cs="Times New Roman"/>
                <w:sz w:val="20"/>
                <w:szCs w:val="20"/>
                <w:lang w:eastAsia="en-GB"/>
              </w:rPr>
              <w:t>Bio-</w:t>
            </w:r>
            <w:r w:rsidR="00351241">
              <w:rPr>
                <w:rFonts w:ascii="Calibri" w:eastAsia="Times New Roman" w:hAnsi="Calibri" w:cs="Times New Roman"/>
                <w:sz w:val="20"/>
                <w:szCs w:val="20"/>
                <w:lang w:eastAsia="en-GB"/>
              </w:rPr>
              <w:t>oil</w:t>
            </w:r>
            <w:r w:rsidRPr="00823FA3">
              <w:rPr>
                <w:rFonts w:ascii="Calibri" w:eastAsia="Times New Roman" w:hAnsi="Calibri" w:cs="Times New Roman"/>
                <w:sz w:val="20"/>
                <w:szCs w:val="20"/>
                <w:lang w:eastAsia="en-GB"/>
              </w:rPr>
              <w:t xml:space="preserve"> yield / %</w:t>
            </w:r>
            <w:r w:rsidR="00177A11">
              <w:rPr>
                <w:rFonts w:ascii="Calibri" w:eastAsia="Times New Roman" w:hAnsi="Calibri" w:cs="Times New Roman"/>
                <w:sz w:val="20"/>
                <w:szCs w:val="20"/>
                <w:lang w:eastAsia="en-GB"/>
              </w:rPr>
              <w:t xml:space="preserve"> of total dry mass</w:t>
            </w:r>
          </w:p>
        </w:tc>
        <w:tc>
          <w:tcPr>
            <w:tcW w:w="704" w:type="dxa"/>
            <w:noWrap/>
          </w:tcPr>
          <w:p w14:paraId="06A912D0" w14:textId="77777777" w:rsidR="0020482B" w:rsidRPr="00823FA3" w:rsidRDefault="0020482B" w:rsidP="00B50382">
            <w:pPr>
              <w:spacing w:line="480" w:lineRule="auto"/>
              <w:jc w:val="both"/>
              <w:rPr>
                <w:rFonts w:ascii="Calibri" w:eastAsia="Times New Roman" w:hAnsi="Calibri" w:cs="Times New Roman"/>
                <w:sz w:val="20"/>
                <w:szCs w:val="20"/>
                <w:lang w:eastAsia="en-GB"/>
              </w:rPr>
            </w:pPr>
            <w:r w:rsidRPr="00823FA3">
              <w:rPr>
                <w:rFonts w:ascii="Calibri" w:eastAsia="Times New Roman" w:hAnsi="Calibri" w:cs="Times New Roman"/>
                <w:sz w:val="20"/>
                <w:szCs w:val="20"/>
                <w:lang w:eastAsia="en-GB"/>
              </w:rPr>
              <w:t>% C</w:t>
            </w:r>
          </w:p>
        </w:tc>
        <w:tc>
          <w:tcPr>
            <w:tcW w:w="705" w:type="dxa"/>
            <w:noWrap/>
          </w:tcPr>
          <w:p w14:paraId="1F43582F" w14:textId="77777777" w:rsidR="0020482B" w:rsidRPr="00823FA3" w:rsidRDefault="0020482B" w:rsidP="00B50382">
            <w:pPr>
              <w:spacing w:line="480" w:lineRule="auto"/>
              <w:jc w:val="both"/>
              <w:rPr>
                <w:rFonts w:ascii="Calibri" w:eastAsia="Times New Roman" w:hAnsi="Calibri" w:cs="Times New Roman"/>
                <w:sz w:val="20"/>
                <w:szCs w:val="20"/>
                <w:lang w:eastAsia="en-GB"/>
              </w:rPr>
            </w:pPr>
            <w:r w:rsidRPr="00823FA3">
              <w:rPr>
                <w:rFonts w:ascii="Calibri" w:eastAsia="Times New Roman" w:hAnsi="Calibri" w:cs="Times New Roman"/>
                <w:sz w:val="20"/>
                <w:szCs w:val="20"/>
                <w:lang w:eastAsia="en-GB"/>
              </w:rPr>
              <w:t>% H</w:t>
            </w:r>
          </w:p>
        </w:tc>
        <w:tc>
          <w:tcPr>
            <w:tcW w:w="705" w:type="dxa"/>
            <w:noWrap/>
          </w:tcPr>
          <w:p w14:paraId="759AB366" w14:textId="77777777" w:rsidR="0020482B" w:rsidRPr="00823FA3" w:rsidRDefault="0020482B" w:rsidP="00B50382">
            <w:pPr>
              <w:spacing w:line="480" w:lineRule="auto"/>
              <w:jc w:val="both"/>
              <w:rPr>
                <w:rFonts w:ascii="Calibri" w:eastAsia="Times New Roman" w:hAnsi="Calibri" w:cs="Times New Roman"/>
                <w:sz w:val="20"/>
                <w:szCs w:val="20"/>
                <w:lang w:eastAsia="en-GB"/>
              </w:rPr>
            </w:pPr>
            <w:r w:rsidRPr="00823FA3">
              <w:rPr>
                <w:rFonts w:ascii="Calibri" w:eastAsia="Times New Roman" w:hAnsi="Calibri" w:cs="Times New Roman"/>
                <w:sz w:val="20"/>
                <w:szCs w:val="20"/>
                <w:lang w:eastAsia="en-GB"/>
              </w:rPr>
              <w:t>% N</w:t>
            </w:r>
          </w:p>
        </w:tc>
        <w:tc>
          <w:tcPr>
            <w:tcW w:w="963" w:type="dxa"/>
            <w:noWrap/>
          </w:tcPr>
          <w:p w14:paraId="4AE15653" w14:textId="77777777" w:rsidR="0020482B" w:rsidRPr="00823FA3" w:rsidRDefault="0020482B" w:rsidP="00B50382">
            <w:pPr>
              <w:spacing w:line="480" w:lineRule="auto"/>
              <w:jc w:val="both"/>
              <w:rPr>
                <w:rFonts w:ascii="Calibri" w:eastAsia="Times New Roman" w:hAnsi="Calibri" w:cs="Times New Roman"/>
                <w:sz w:val="20"/>
                <w:szCs w:val="20"/>
                <w:lang w:eastAsia="en-GB"/>
              </w:rPr>
            </w:pPr>
            <w:r w:rsidRPr="00823FA3">
              <w:rPr>
                <w:rFonts w:ascii="Calibri" w:eastAsia="Times New Roman" w:hAnsi="Calibri" w:cs="Times New Roman"/>
                <w:sz w:val="20"/>
                <w:szCs w:val="20"/>
                <w:lang w:eastAsia="en-GB"/>
              </w:rPr>
              <w:t>% other</w:t>
            </w:r>
          </w:p>
        </w:tc>
        <w:tc>
          <w:tcPr>
            <w:tcW w:w="1446" w:type="dxa"/>
          </w:tcPr>
          <w:p w14:paraId="41B99B2C" w14:textId="77777777" w:rsidR="0020482B" w:rsidRPr="00823FA3" w:rsidRDefault="0020482B" w:rsidP="00B50382">
            <w:pPr>
              <w:spacing w:line="480" w:lineRule="auto"/>
              <w:jc w:val="both"/>
              <w:rPr>
                <w:rFonts w:ascii="Calibri" w:eastAsia="Times New Roman" w:hAnsi="Calibri" w:cs="Times New Roman"/>
                <w:sz w:val="20"/>
                <w:szCs w:val="20"/>
                <w:lang w:eastAsia="en-GB"/>
              </w:rPr>
            </w:pPr>
            <w:r w:rsidRPr="00823FA3">
              <w:rPr>
                <w:rFonts w:ascii="Calibri" w:eastAsia="Times New Roman" w:hAnsi="Calibri" w:cs="Times New Roman"/>
                <w:sz w:val="20"/>
                <w:szCs w:val="20"/>
                <w:lang w:eastAsia="en-GB"/>
              </w:rPr>
              <w:t>HHV / MJ kg</w:t>
            </w:r>
            <w:r w:rsidRPr="00823FA3">
              <w:rPr>
                <w:rFonts w:ascii="Calibri" w:eastAsia="Times New Roman" w:hAnsi="Calibri" w:cs="Times New Roman"/>
                <w:sz w:val="20"/>
                <w:szCs w:val="20"/>
                <w:vertAlign w:val="superscript"/>
                <w:lang w:eastAsia="en-GB"/>
              </w:rPr>
              <w:t>-1</w:t>
            </w:r>
          </w:p>
        </w:tc>
      </w:tr>
      <w:tr w:rsidR="0020482B" w:rsidRPr="00823FA3" w14:paraId="2EAB0568" w14:textId="77777777" w:rsidTr="00AA687F">
        <w:trPr>
          <w:trHeight w:val="300"/>
        </w:trPr>
        <w:tc>
          <w:tcPr>
            <w:tcW w:w="2359" w:type="dxa"/>
            <w:hideMark/>
          </w:tcPr>
          <w:p w14:paraId="1CD2BD51" w14:textId="77777777" w:rsidR="0020482B" w:rsidRPr="00823FA3" w:rsidRDefault="0020482B" w:rsidP="00B50382">
            <w:pPr>
              <w:spacing w:line="480" w:lineRule="auto"/>
              <w:jc w:val="both"/>
              <w:rPr>
                <w:rFonts w:ascii="Calibri" w:eastAsia="Times New Roman" w:hAnsi="Calibri" w:cs="Times New Roman"/>
                <w:i/>
                <w:sz w:val="20"/>
                <w:szCs w:val="20"/>
                <w:lang w:eastAsia="en-GB"/>
              </w:rPr>
            </w:pPr>
            <w:r w:rsidRPr="00823FA3">
              <w:rPr>
                <w:rFonts w:ascii="Calibri" w:eastAsia="Times New Roman" w:hAnsi="Calibri" w:cs="Times New Roman"/>
                <w:i/>
                <w:sz w:val="20"/>
                <w:szCs w:val="20"/>
                <w:lang w:eastAsia="en-GB"/>
              </w:rPr>
              <w:t>Spirulina</w:t>
            </w:r>
          </w:p>
        </w:tc>
        <w:tc>
          <w:tcPr>
            <w:tcW w:w="1885" w:type="dxa"/>
          </w:tcPr>
          <w:p w14:paraId="5BB58778"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35.9</w:t>
            </w:r>
          </w:p>
        </w:tc>
        <w:tc>
          <w:tcPr>
            <w:tcW w:w="704" w:type="dxa"/>
            <w:noWrap/>
          </w:tcPr>
          <w:p w14:paraId="5E1AE587"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70.8</w:t>
            </w:r>
          </w:p>
        </w:tc>
        <w:tc>
          <w:tcPr>
            <w:tcW w:w="705" w:type="dxa"/>
            <w:noWrap/>
          </w:tcPr>
          <w:p w14:paraId="48E44B34"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9.1</w:t>
            </w:r>
          </w:p>
        </w:tc>
        <w:tc>
          <w:tcPr>
            <w:tcW w:w="705" w:type="dxa"/>
            <w:noWrap/>
          </w:tcPr>
          <w:p w14:paraId="7925D797"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7.9</w:t>
            </w:r>
          </w:p>
        </w:tc>
        <w:tc>
          <w:tcPr>
            <w:tcW w:w="963" w:type="dxa"/>
            <w:noWrap/>
          </w:tcPr>
          <w:p w14:paraId="3BCCA38F"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sidRPr="00823FA3">
              <w:rPr>
                <w:rFonts w:ascii="Calibri" w:eastAsia="Times New Roman" w:hAnsi="Calibri" w:cs="Times New Roman"/>
                <w:sz w:val="20"/>
                <w:szCs w:val="20"/>
                <w:lang w:eastAsia="en-GB"/>
              </w:rPr>
              <w:t>12.1</w:t>
            </w:r>
          </w:p>
        </w:tc>
        <w:tc>
          <w:tcPr>
            <w:tcW w:w="1446" w:type="dxa"/>
          </w:tcPr>
          <w:p w14:paraId="34AB6769"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sidRPr="00823FA3">
              <w:rPr>
                <w:rFonts w:ascii="Calibri" w:eastAsia="Times New Roman" w:hAnsi="Calibri" w:cs="Times New Roman"/>
                <w:sz w:val="20"/>
                <w:szCs w:val="20"/>
                <w:lang w:eastAsia="en-GB"/>
              </w:rPr>
              <w:t>29.32</w:t>
            </w:r>
          </w:p>
        </w:tc>
      </w:tr>
      <w:tr w:rsidR="0020482B" w:rsidRPr="00823FA3" w14:paraId="096FF8FC" w14:textId="77777777" w:rsidTr="00AA687F">
        <w:trPr>
          <w:trHeight w:val="300"/>
        </w:trPr>
        <w:tc>
          <w:tcPr>
            <w:tcW w:w="2359" w:type="dxa"/>
            <w:noWrap/>
            <w:hideMark/>
          </w:tcPr>
          <w:p w14:paraId="71FB2D96" w14:textId="60F32CF0" w:rsidR="0020482B" w:rsidRPr="00823FA3" w:rsidRDefault="001E5C39" w:rsidP="00B50382">
            <w:pPr>
              <w:spacing w:line="480" w:lineRule="auto"/>
              <w:jc w:val="both"/>
              <w:rPr>
                <w:rFonts w:ascii="Calibri" w:eastAsia="Times New Roman" w:hAnsi="Calibri" w:cs="Times New Roman"/>
                <w:sz w:val="20"/>
                <w:szCs w:val="20"/>
                <w:lang w:eastAsia="en-GB"/>
              </w:rPr>
            </w:pPr>
            <w:r>
              <w:rPr>
                <w:rFonts w:ascii="Calibri" w:eastAsia="Times New Roman" w:hAnsi="Calibri" w:cs="Times New Roman"/>
                <w:sz w:val="20"/>
                <w:szCs w:val="20"/>
                <w:lang w:eastAsia="en-GB"/>
              </w:rPr>
              <w:t>AMD</w:t>
            </w:r>
            <w:r w:rsidR="009F42EB">
              <w:rPr>
                <w:rFonts w:ascii="Calibri" w:eastAsia="Times New Roman" w:hAnsi="Calibri" w:cs="Times New Roman"/>
                <w:sz w:val="20"/>
                <w:szCs w:val="20"/>
                <w:lang w:eastAsia="en-GB"/>
              </w:rPr>
              <w:t>-</w:t>
            </w:r>
            <w:r>
              <w:rPr>
                <w:rFonts w:ascii="Calibri" w:eastAsia="Times New Roman" w:hAnsi="Calibri" w:cs="Times New Roman"/>
                <w:sz w:val="20"/>
                <w:szCs w:val="20"/>
                <w:lang w:eastAsia="en-GB"/>
              </w:rPr>
              <w:t>1</w:t>
            </w:r>
          </w:p>
        </w:tc>
        <w:tc>
          <w:tcPr>
            <w:tcW w:w="1885" w:type="dxa"/>
          </w:tcPr>
          <w:p w14:paraId="4C10C648"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45.7</w:t>
            </w:r>
          </w:p>
        </w:tc>
        <w:tc>
          <w:tcPr>
            <w:tcW w:w="704" w:type="dxa"/>
            <w:noWrap/>
            <w:hideMark/>
          </w:tcPr>
          <w:p w14:paraId="3A939C7C"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68.8</w:t>
            </w:r>
          </w:p>
        </w:tc>
        <w:tc>
          <w:tcPr>
            <w:tcW w:w="705" w:type="dxa"/>
            <w:noWrap/>
            <w:hideMark/>
          </w:tcPr>
          <w:p w14:paraId="4BE72334"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7.9</w:t>
            </w:r>
          </w:p>
        </w:tc>
        <w:tc>
          <w:tcPr>
            <w:tcW w:w="705" w:type="dxa"/>
            <w:noWrap/>
            <w:hideMark/>
          </w:tcPr>
          <w:p w14:paraId="7D3E59C7"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7.1</w:t>
            </w:r>
          </w:p>
        </w:tc>
        <w:tc>
          <w:tcPr>
            <w:tcW w:w="963" w:type="dxa"/>
            <w:noWrap/>
            <w:hideMark/>
          </w:tcPr>
          <w:p w14:paraId="5C0729F7"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16.2</w:t>
            </w:r>
          </w:p>
        </w:tc>
        <w:tc>
          <w:tcPr>
            <w:tcW w:w="1446" w:type="dxa"/>
          </w:tcPr>
          <w:p w14:paraId="19E1E08B"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sidRPr="00823FA3">
              <w:rPr>
                <w:rFonts w:ascii="Calibri" w:eastAsia="Times New Roman" w:hAnsi="Calibri" w:cs="Times New Roman"/>
                <w:sz w:val="20"/>
                <w:szCs w:val="20"/>
                <w:lang w:eastAsia="en-GB"/>
              </w:rPr>
              <w:t>29.70</w:t>
            </w:r>
          </w:p>
        </w:tc>
      </w:tr>
      <w:tr w:rsidR="0020482B" w:rsidRPr="00823FA3" w14:paraId="30168421" w14:textId="77777777" w:rsidTr="00AA687F">
        <w:trPr>
          <w:trHeight w:val="300"/>
        </w:trPr>
        <w:tc>
          <w:tcPr>
            <w:tcW w:w="2359" w:type="dxa"/>
            <w:noWrap/>
          </w:tcPr>
          <w:p w14:paraId="27AF8FC6" w14:textId="6C0FCE4C" w:rsidR="0020482B" w:rsidRPr="00823FA3" w:rsidRDefault="001E5C39" w:rsidP="00B50382">
            <w:pPr>
              <w:spacing w:line="480" w:lineRule="auto"/>
              <w:jc w:val="both"/>
              <w:rPr>
                <w:rFonts w:ascii="Calibri" w:eastAsia="Times New Roman" w:hAnsi="Calibri" w:cs="Times New Roman"/>
                <w:sz w:val="20"/>
                <w:szCs w:val="20"/>
                <w:lang w:eastAsia="en-GB"/>
              </w:rPr>
            </w:pPr>
            <w:r>
              <w:rPr>
                <w:rFonts w:ascii="Calibri" w:eastAsia="Times New Roman" w:hAnsi="Calibri" w:cs="Times New Roman"/>
                <w:sz w:val="20"/>
                <w:szCs w:val="20"/>
                <w:lang w:eastAsia="en-GB"/>
              </w:rPr>
              <w:t>AMD</w:t>
            </w:r>
            <w:r w:rsidR="009F42EB">
              <w:rPr>
                <w:rFonts w:ascii="Calibri" w:eastAsia="Times New Roman" w:hAnsi="Calibri" w:cs="Times New Roman"/>
                <w:sz w:val="20"/>
                <w:szCs w:val="20"/>
                <w:lang w:eastAsia="en-GB"/>
              </w:rPr>
              <w:t>-</w:t>
            </w:r>
            <w:r>
              <w:rPr>
                <w:rFonts w:ascii="Calibri" w:eastAsia="Times New Roman" w:hAnsi="Calibri" w:cs="Times New Roman"/>
                <w:sz w:val="20"/>
                <w:szCs w:val="20"/>
                <w:lang w:eastAsia="en-GB"/>
              </w:rPr>
              <w:t>2</w:t>
            </w:r>
          </w:p>
        </w:tc>
        <w:tc>
          <w:tcPr>
            <w:tcW w:w="1885" w:type="dxa"/>
          </w:tcPr>
          <w:p w14:paraId="152B6990"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8.9</w:t>
            </w:r>
          </w:p>
        </w:tc>
        <w:tc>
          <w:tcPr>
            <w:tcW w:w="704" w:type="dxa"/>
            <w:noWrap/>
          </w:tcPr>
          <w:p w14:paraId="3D7D697E"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68.6</w:t>
            </w:r>
          </w:p>
        </w:tc>
        <w:tc>
          <w:tcPr>
            <w:tcW w:w="705" w:type="dxa"/>
            <w:noWrap/>
          </w:tcPr>
          <w:p w14:paraId="0F44D8C0"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7.2</w:t>
            </w:r>
          </w:p>
        </w:tc>
        <w:tc>
          <w:tcPr>
            <w:tcW w:w="705" w:type="dxa"/>
            <w:noWrap/>
          </w:tcPr>
          <w:p w14:paraId="5F3BE649"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7.5</w:t>
            </w:r>
          </w:p>
        </w:tc>
        <w:tc>
          <w:tcPr>
            <w:tcW w:w="963" w:type="dxa"/>
            <w:noWrap/>
          </w:tcPr>
          <w:p w14:paraId="17FE62A0" w14:textId="77777777" w:rsidR="0020482B" w:rsidRPr="00823FA3" w:rsidRDefault="0020482B" w:rsidP="00B50382">
            <w:pPr>
              <w:spacing w:line="48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16.5</w:t>
            </w:r>
          </w:p>
        </w:tc>
        <w:tc>
          <w:tcPr>
            <w:tcW w:w="1446" w:type="dxa"/>
          </w:tcPr>
          <w:p w14:paraId="151A6161" w14:textId="77777777" w:rsidR="0020482B" w:rsidRPr="00823FA3" w:rsidRDefault="0020482B" w:rsidP="00B50382">
            <w:pPr>
              <w:keepNext/>
              <w:spacing w:line="480" w:lineRule="auto"/>
              <w:jc w:val="center"/>
              <w:rPr>
                <w:rFonts w:ascii="Calibri" w:eastAsia="Times New Roman" w:hAnsi="Calibri" w:cs="Times New Roman"/>
                <w:sz w:val="20"/>
                <w:szCs w:val="20"/>
                <w:lang w:eastAsia="en-GB"/>
              </w:rPr>
            </w:pPr>
            <w:r w:rsidRPr="00823FA3">
              <w:rPr>
                <w:rFonts w:ascii="Calibri" w:eastAsia="Times New Roman" w:hAnsi="Calibri" w:cs="Times New Roman"/>
                <w:sz w:val="20"/>
                <w:szCs w:val="20"/>
                <w:lang w:eastAsia="en-GB"/>
              </w:rPr>
              <w:t>28.73</w:t>
            </w:r>
          </w:p>
        </w:tc>
      </w:tr>
    </w:tbl>
    <w:p w14:paraId="7557FC11" w14:textId="77777777" w:rsidR="00177A11" w:rsidRDefault="00177A11" w:rsidP="00B50382">
      <w:pPr>
        <w:spacing w:line="480" w:lineRule="auto"/>
      </w:pPr>
    </w:p>
    <w:p w14:paraId="721AB75B" w14:textId="5382E80E" w:rsidR="00B50382" w:rsidRPr="00997571" w:rsidRDefault="00B50382" w:rsidP="00BB3734">
      <w:pPr>
        <w:spacing w:line="480" w:lineRule="auto"/>
        <w:jc w:val="both"/>
      </w:pPr>
      <w:r w:rsidRPr="00997571">
        <w:t>Bio-</w:t>
      </w:r>
      <w:r w:rsidR="00351241">
        <w:t>oil</w:t>
      </w:r>
      <w:r w:rsidRPr="00997571">
        <w:t xml:space="preserve"> yields </w:t>
      </w:r>
      <w:r w:rsidR="00177A11">
        <w:t xml:space="preserve">(calculated as a percentage of the original dry algal biomass) </w:t>
      </w:r>
      <w:r w:rsidRPr="00997571">
        <w:t xml:space="preserve">were higher for the </w:t>
      </w:r>
      <w:r>
        <w:t>AMD</w:t>
      </w:r>
      <w:r w:rsidR="009F42EB">
        <w:t>-</w:t>
      </w:r>
      <w:r>
        <w:t>1 algae</w:t>
      </w:r>
      <w:r w:rsidRPr="00997571">
        <w:t xml:space="preserve"> than for </w:t>
      </w:r>
      <w:r w:rsidRPr="00815FFE">
        <w:t>Spirulina</w:t>
      </w:r>
      <w:r w:rsidRPr="00997571">
        <w:t xml:space="preserve"> with no additives, comparable to yields obtained with additives at the highest metal loading. This increase is likely to be due partly to the comparatively higher C and H</w:t>
      </w:r>
      <w:r>
        <w:t xml:space="preserve"> content of the biomass</w:t>
      </w:r>
      <w:r w:rsidRPr="00997571">
        <w:t xml:space="preserve">, and partly due to catalytic effects from absorbed metals in the biomass. The </w:t>
      </w:r>
      <w:r>
        <w:t>AMD</w:t>
      </w:r>
      <w:r w:rsidR="009F42EB">
        <w:t>-</w:t>
      </w:r>
      <w:r>
        <w:t>2 biomass</w:t>
      </w:r>
      <w:r w:rsidRPr="00997571">
        <w:t>, with a far lower carbon content, gave a correspondingly lower yield of 8.8 % bio-</w:t>
      </w:r>
      <w:r w:rsidR="00351241">
        <w:t>oil</w:t>
      </w:r>
      <w:r>
        <w:t xml:space="preserve">, with the </w:t>
      </w:r>
      <w:r w:rsidR="005651AD">
        <w:t>solid residue</w:t>
      </w:r>
      <w:r>
        <w:t xml:space="preserve"> making up 55.3</w:t>
      </w:r>
      <w:r w:rsidRPr="00997571">
        <w:t xml:space="preserve"> % of the product by weight. Interestingly, although the yield was extremely low, the composition and energy content of the bio-</w:t>
      </w:r>
      <w:r w:rsidR="00351241">
        <w:t>oil</w:t>
      </w:r>
      <w:r w:rsidRPr="00997571">
        <w:t xml:space="preserve"> were similar to that of the </w:t>
      </w:r>
      <w:r>
        <w:t>AMD</w:t>
      </w:r>
      <w:r w:rsidR="009F42EB">
        <w:t>-</w:t>
      </w:r>
      <w:r>
        <w:t>1</w:t>
      </w:r>
      <w:r w:rsidRPr="00997571">
        <w:t xml:space="preserve"> biomass</w:t>
      </w:r>
      <w:r>
        <w:t xml:space="preserve"> (table 5)</w:t>
      </w:r>
      <w:r w:rsidRPr="00997571">
        <w:t>.</w:t>
      </w:r>
      <w:r>
        <w:t xml:space="preserve"> This suggests that the volume of remediated metals will not have a large effect on the quality of the bio-oil, and the quality of the bio-oil should be relatively uniform irrespective of </w:t>
      </w:r>
      <w:r w:rsidR="00756888">
        <w:t xml:space="preserve">any </w:t>
      </w:r>
      <w:r>
        <w:t xml:space="preserve">seasonal </w:t>
      </w:r>
      <w:r w:rsidR="00756888">
        <w:t xml:space="preserve">or geographical </w:t>
      </w:r>
      <w:r>
        <w:t>changes</w:t>
      </w:r>
      <w:r w:rsidR="00756888">
        <w:t xml:space="preserve"> </w:t>
      </w:r>
      <w:r>
        <w:t xml:space="preserve">in the metal content being remediated.  </w:t>
      </w:r>
      <w:r w:rsidRPr="00997571">
        <w:t xml:space="preserve"> </w:t>
      </w:r>
    </w:p>
    <w:p w14:paraId="05F9205D" w14:textId="5B9857EC" w:rsidR="00B50382" w:rsidRDefault="00B50382" w:rsidP="00BB3734">
      <w:pPr>
        <w:spacing w:line="480" w:lineRule="auto"/>
        <w:jc w:val="both"/>
      </w:pPr>
      <w:r>
        <w:t>AMD</w:t>
      </w:r>
      <w:r w:rsidR="009F42EB">
        <w:t>-</w:t>
      </w:r>
      <w:r>
        <w:t>1</w:t>
      </w:r>
      <w:r w:rsidRPr="00997571">
        <w:t xml:space="preserve"> has a significantly higher </w:t>
      </w:r>
      <w:r>
        <w:t xml:space="preserve">level of carbon partitioning into the oil </w:t>
      </w:r>
      <w:r w:rsidRPr="00997571">
        <w:t xml:space="preserve">(84 %) than either Spirulina or </w:t>
      </w:r>
      <w:r>
        <w:t>AMD</w:t>
      </w:r>
      <w:r w:rsidR="009F42EB">
        <w:t>-</w:t>
      </w:r>
      <w:r>
        <w:t>2</w:t>
      </w:r>
      <w:r w:rsidRPr="00997571">
        <w:t xml:space="preserve"> (73 % and 42 %, respectively) at the same processing conditions, demonstrating that initial biomass concentration cannot be the only factor affecting bio-</w:t>
      </w:r>
      <w:r w:rsidR="00351241">
        <w:t>oil</w:t>
      </w:r>
      <w:r w:rsidRPr="00997571">
        <w:t xml:space="preserve"> yields. The </w:t>
      </w:r>
      <w:r>
        <w:t>AMD</w:t>
      </w:r>
      <w:r w:rsidR="009F42EB">
        <w:t>-</w:t>
      </w:r>
      <w:r>
        <w:t xml:space="preserve">1 </w:t>
      </w:r>
      <w:r w:rsidRPr="00997571">
        <w:t xml:space="preserve">algae </w:t>
      </w:r>
      <w:r w:rsidR="00075A7D" w:rsidRPr="00997571">
        <w:t>contain</w:t>
      </w:r>
      <w:r w:rsidR="00075A7D">
        <w:t>ed</w:t>
      </w:r>
      <w:r w:rsidR="00075A7D" w:rsidRPr="00997571">
        <w:t xml:space="preserve"> </w:t>
      </w:r>
      <w:r w:rsidRPr="00997571">
        <w:t>0.46 wt. % Fe and 0.27 wt. % Zn, in addition to 0.32 % Mg, which is also present in Spir</w:t>
      </w:r>
      <w:r>
        <w:t>ulina at similar levels</w:t>
      </w:r>
      <w:r w:rsidRPr="00997571">
        <w:t>.</w:t>
      </w:r>
    </w:p>
    <w:p w14:paraId="062AD57F" w14:textId="77777777" w:rsidR="007A4807" w:rsidRDefault="007A4807" w:rsidP="00B50382">
      <w:pPr>
        <w:spacing w:line="480" w:lineRule="auto"/>
      </w:pPr>
    </w:p>
    <w:p w14:paraId="73875A79" w14:textId="767ADD39" w:rsidR="00815FFE" w:rsidRPr="00997571" w:rsidRDefault="00AC0E0D" w:rsidP="00B50382">
      <w:pPr>
        <w:spacing w:line="480" w:lineRule="auto"/>
      </w:pPr>
      <w:r w:rsidRPr="005017ED">
        <w:rPr>
          <w:sz w:val="20"/>
        </w:rPr>
        <w:t xml:space="preserve">Table 6 Elemental composition of the </w:t>
      </w:r>
      <w:r w:rsidR="005651AD">
        <w:rPr>
          <w:sz w:val="20"/>
        </w:rPr>
        <w:t>solid residue</w:t>
      </w:r>
      <w:r w:rsidRPr="005017ED">
        <w:rPr>
          <w:sz w:val="20"/>
        </w:rPr>
        <w:t xml:space="preserve"> produced by the hydrothermal liquefaction of algae with a low metal uptake (AMD1), and a high metal uptake (AMD2), used in the remediation of acid mine drainage</w:t>
      </w:r>
      <w:r w:rsidR="00177A11">
        <w:rPr>
          <w:sz w:val="20"/>
        </w:rPr>
        <w:t xml:space="preserve">. The solid residue is given as a percentage of the orginal total dry algal biomass.  </w:t>
      </w:r>
    </w:p>
    <w:tbl>
      <w:tblPr>
        <w:tblStyle w:val="TableGrid"/>
        <w:tblW w:w="9134" w:type="dxa"/>
        <w:tblLayout w:type="fixed"/>
        <w:tblLook w:val="04A0" w:firstRow="1" w:lastRow="0" w:firstColumn="1" w:lastColumn="0" w:noHBand="0" w:noVBand="1"/>
      </w:tblPr>
      <w:tblGrid>
        <w:gridCol w:w="1129"/>
        <w:gridCol w:w="993"/>
        <w:gridCol w:w="850"/>
        <w:gridCol w:w="709"/>
        <w:gridCol w:w="709"/>
        <w:gridCol w:w="745"/>
        <w:gridCol w:w="667"/>
        <w:gridCol w:w="629"/>
        <w:gridCol w:w="621"/>
        <w:gridCol w:w="628"/>
        <w:gridCol w:w="637"/>
        <w:gridCol w:w="817"/>
      </w:tblGrid>
      <w:tr w:rsidR="005D1871" w:rsidRPr="00063D3E" w14:paraId="1227E909" w14:textId="77777777" w:rsidTr="00AA687F">
        <w:trPr>
          <w:trHeight w:val="300"/>
        </w:trPr>
        <w:tc>
          <w:tcPr>
            <w:tcW w:w="1129" w:type="dxa"/>
          </w:tcPr>
          <w:p w14:paraId="2AA6D6EF" w14:textId="77777777" w:rsidR="005D1871" w:rsidRPr="00063D3E" w:rsidRDefault="005D1871" w:rsidP="00815FFE">
            <w:pPr>
              <w:spacing w:line="360" w:lineRule="auto"/>
              <w:rPr>
                <w:rFonts w:eastAsia="Times New Roman" w:cs="Times New Roman"/>
                <w:sz w:val="20"/>
                <w:szCs w:val="20"/>
                <w:lang w:eastAsia="en-GB"/>
              </w:rPr>
            </w:pPr>
            <w:r w:rsidRPr="00063D3E">
              <w:rPr>
                <w:rFonts w:eastAsia="Times New Roman" w:cs="Times New Roman"/>
                <w:sz w:val="20"/>
                <w:szCs w:val="20"/>
                <w:lang w:eastAsia="en-GB"/>
              </w:rPr>
              <w:t>Feedstock</w:t>
            </w:r>
          </w:p>
        </w:tc>
        <w:tc>
          <w:tcPr>
            <w:tcW w:w="993" w:type="dxa"/>
          </w:tcPr>
          <w:p w14:paraId="5D9055C8" w14:textId="77777777" w:rsidR="005D1871" w:rsidRPr="00063D3E" w:rsidRDefault="005651AD" w:rsidP="00815FFE">
            <w:pPr>
              <w:spacing w:line="360" w:lineRule="auto"/>
              <w:jc w:val="center"/>
              <w:rPr>
                <w:rFonts w:eastAsia="Times New Roman" w:cs="Times New Roman"/>
                <w:sz w:val="20"/>
                <w:szCs w:val="20"/>
                <w:lang w:eastAsia="en-GB"/>
              </w:rPr>
            </w:pPr>
            <w:r>
              <w:rPr>
                <w:rFonts w:eastAsia="Times New Roman" w:cs="Times New Roman"/>
                <w:sz w:val="20"/>
                <w:szCs w:val="20"/>
                <w:lang w:eastAsia="en-GB"/>
              </w:rPr>
              <w:t>Solid residue</w:t>
            </w:r>
            <w:r w:rsidR="005D1871" w:rsidRPr="00063D3E">
              <w:rPr>
                <w:rFonts w:eastAsia="Times New Roman" w:cs="Times New Roman"/>
                <w:sz w:val="20"/>
                <w:szCs w:val="20"/>
                <w:lang w:eastAsia="en-GB"/>
              </w:rPr>
              <w:t xml:space="preserve"> yield / %</w:t>
            </w:r>
          </w:p>
        </w:tc>
        <w:tc>
          <w:tcPr>
            <w:tcW w:w="850" w:type="dxa"/>
          </w:tcPr>
          <w:p w14:paraId="0537B406"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eastAsia="Times New Roman" w:cs="Microsoft Sans Serif"/>
                <w:sz w:val="20"/>
                <w:szCs w:val="20"/>
                <w:lang w:eastAsia="en-GB"/>
              </w:rPr>
              <w:t>C %</w:t>
            </w:r>
          </w:p>
        </w:tc>
        <w:tc>
          <w:tcPr>
            <w:tcW w:w="709" w:type="dxa"/>
          </w:tcPr>
          <w:p w14:paraId="4501FFE7" w14:textId="77777777" w:rsidR="005D1871" w:rsidRPr="00063D3E" w:rsidRDefault="005D1871" w:rsidP="00815FFE">
            <w:pPr>
              <w:spacing w:line="360" w:lineRule="auto"/>
              <w:jc w:val="center"/>
              <w:rPr>
                <w:rFonts w:eastAsia="Times New Roman" w:cs="Microsoft Sans Serif"/>
                <w:sz w:val="20"/>
                <w:szCs w:val="20"/>
                <w:lang w:eastAsia="en-GB"/>
              </w:rPr>
            </w:pPr>
            <w:r w:rsidRPr="00063D3E">
              <w:rPr>
                <w:rFonts w:eastAsia="Times New Roman" w:cs="Microsoft Sans Serif"/>
                <w:sz w:val="20"/>
                <w:szCs w:val="20"/>
                <w:lang w:eastAsia="en-GB"/>
              </w:rPr>
              <w:t>H %</w:t>
            </w:r>
          </w:p>
        </w:tc>
        <w:tc>
          <w:tcPr>
            <w:tcW w:w="709" w:type="dxa"/>
          </w:tcPr>
          <w:p w14:paraId="78C323D2" w14:textId="77777777" w:rsidR="005D1871" w:rsidRPr="00063D3E" w:rsidRDefault="005D1871" w:rsidP="00815FFE">
            <w:pPr>
              <w:spacing w:line="360" w:lineRule="auto"/>
              <w:jc w:val="center"/>
              <w:rPr>
                <w:rFonts w:eastAsia="Times New Roman" w:cs="Microsoft Sans Serif"/>
                <w:sz w:val="20"/>
                <w:szCs w:val="20"/>
                <w:lang w:eastAsia="en-GB"/>
              </w:rPr>
            </w:pPr>
            <w:r w:rsidRPr="00063D3E">
              <w:rPr>
                <w:rFonts w:eastAsia="Times New Roman" w:cs="Microsoft Sans Serif"/>
                <w:sz w:val="20"/>
                <w:szCs w:val="20"/>
                <w:lang w:eastAsia="en-GB"/>
              </w:rPr>
              <w:t>N %</w:t>
            </w:r>
          </w:p>
        </w:tc>
        <w:tc>
          <w:tcPr>
            <w:tcW w:w="745" w:type="dxa"/>
          </w:tcPr>
          <w:p w14:paraId="7142267F" w14:textId="77777777" w:rsidR="005D1871" w:rsidRPr="00063D3E" w:rsidRDefault="005D1871" w:rsidP="00815FFE">
            <w:pPr>
              <w:spacing w:line="360" w:lineRule="auto"/>
              <w:jc w:val="center"/>
              <w:rPr>
                <w:rFonts w:eastAsia="Times New Roman" w:cs="Microsoft Sans Serif"/>
                <w:sz w:val="20"/>
                <w:szCs w:val="20"/>
                <w:lang w:eastAsia="en-GB"/>
              </w:rPr>
            </w:pPr>
            <w:r w:rsidRPr="00063D3E">
              <w:rPr>
                <w:rFonts w:eastAsia="Times New Roman" w:cs="Microsoft Sans Serif"/>
                <w:sz w:val="20"/>
                <w:szCs w:val="20"/>
                <w:lang w:eastAsia="en-GB"/>
              </w:rPr>
              <w:t>P %</w:t>
            </w:r>
          </w:p>
        </w:tc>
        <w:tc>
          <w:tcPr>
            <w:tcW w:w="667" w:type="dxa"/>
          </w:tcPr>
          <w:p w14:paraId="11CBD60B" w14:textId="77777777" w:rsidR="005D1871" w:rsidRPr="00063D3E" w:rsidRDefault="005D1871" w:rsidP="00815FFE">
            <w:pPr>
              <w:spacing w:line="360" w:lineRule="auto"/>
              <w:jc w:val="center"/>
              <w:rPr>
                <w:rFonts w:eastAsia="Times New Roman" w:cs="Microsoft Sans Serif"/>
                <w:sz w:val="20"/>
                <w:szCs w:val="20"/>
                <w:lang w:eastAsia="en-GB"/>
              </w:rPr>
            </w:pPr>
            <w:r w:rsidRPr="00063D3E">
              <w:rPr>
                <w:rFonts w:eastAsia="Times New Roman" w:cs="Microsoft Sans Serif"/>
                <w:sz w:val="20"/>
                <w:szCs w:val="20"/>
                <w:lang w:eastAsia="en-GB"/>
              </w:rPr>
              <w:t>Mg %</w:t>
            </w:r>
          </w:p>
        </w:tc>
        <w:tc>
          <w:tcPr>
            <w:tcW w:w="629" w:type="dxa"/>
          </w:tcPr>
          <w:p w14:paraId="53DF19DE" w14:textId="77777777" w:rsidR="005D1871" w:rsidRPr="00063D3E" w:rsidRDefault="005D1871" w:rsidP="00815FFE">
            <w:pPr>
              <w:spacing w:line="360" w:lineRule="auto"/>
              <w:jc w:val="center"/>
              <w:rPr>
                <w:rFonts w:eastAsia="Times New Roman" w:cs="Microsoft Sans Serif"/>
                <w:sz w:val="20"/>
                <w:szCs w:val="20"/>
                <w:lang w:eastAsia="en-GB"/>
              </w:rPr>
            </w:pPr>
            <w:r w:rsidRPr="00063D3E">
              <w:rPr>
                <w:rFonts w:eastAsia="Times New Roman" w:cs="Microsoft Sans Serif"/>
                <w:sz w:val="20"/>
                <w:szCs w:val="20"/>
                <w:lang w:eastAsia="en-GB"/>
              </w:rPr>
              <w:t>Zn %</w:t>
            </w:r>
          </w:p>
        </w:tc>
        <w:tc>
          <w:tcPr>
            <w:tcW w:w="621" w:type="dxa"/>
          </w:tcPr>
          <w:p w14:paraId="30F04A7E" w14:textId="77777777" w:rsidR="005D1871" w:rsidRPr="00063D3E" w:rsidRDefault="005D1871" w:rsidP="00815FFE">
            <w:pPr>
              <w:spacing w:line="360" w:lineRule="auto"/>
              <w:jc w:val="center"/>
              <w:rPr>
                <w:rFonts w:eastAsia="Times New Roman" w:cs="Microsoft Sans Serif"/>
                <w:sz w:val="20"/>
                <w:szCs w:val="20"/>
                <w:lang w:eastAsia="en-GB"/>
              </w:rPr>
            </w:pPr>
            <w:r w:rsidRPr="00063D3E">
              <w:rPr>
                <w:rFonts w:eastAsia="Times New Roman" w:cs="Microsoft Sans Serif"/>
                <w:sz w:val="20"/>
                <w:szCs w:val="20"/>
                <w:lang w:eastAsia="en-GB"/>
              </w:rPr>
              <w:t>Fe %</w:t>
            </w:r>
          </w:p>
        </w:tc>
        <w:tc>
          <w:tcPr>
            <w:tcW w:w="628" w:type="dxa"/>
          </w:tcPr>
          <w:p w14:paraId="0D668C62" w14:textId="77777777" w:rsidR="005D1871" w:rsidRPr="00063D3E" w:rsidRDefault="005D1871" w:rsidP="00815FFE">
            <w:pPr>
              <w:spacing w:line="360" w:lineRule="auto"/>
              <w:jc w:val="center"/>
              <w:rPr>
                <w:rFonts w:eastAsia="Times New Roman" w:cs="Microsoft Sans Serif"/>
                <w:sz w:val="20"/>
                <w:szCs w:val="20"/>
                <w:lang w:eastAsia="en-GB"/>
              </w:rPr>
            </w:pPr>
            <w:r w:rsidRPr="00063D3E">
              <w:rPr>
                <w:rFonts w:eastAsia="Times New Roman" w:cs="Microsoft Sans Serif"/>
                <w:sz w:val="20"/>
                <w:szCs w:val="20"/>
                <w:lang w:eastAsia="en-GB"/>
              </w:rPr>
              <w:t>Sn %</w:t>
            </w:r>
          </w:p>
        </w:tc>
        <w:tc>
          <w:tcPr>
            <w:tcW w:w="637" w:type="dxa"/>
          </w:tcPr>
          <w:p w14:paraId="32243F74" w14:textId="77777777" w:rsidR="005D1871" w:rsidRPr="00063D3E" w:rsidRDefault="005D1871" w:rsidP="00815FFE">
            <w:pPr>
              <w:spacing w:line="360" w:lineRule="auto"/>
              <w:jc w:val="center"/>
              <w:rPr>
                <w:rFonts w:eastAsia="Times New Roman" w:cs="Microsoft Sans Serif"/>
                <w:sz w:val="20"/>
                <w:szCs w:val="20"/>
                <w:lang w:eastAsia="en-GB"/>
              </w:rPr>
            </w:pPr>
            <w:r w:rsidRPr="00063D3E">
              <w:rPr>
                <w:rFonts w:eastAsia="Times New Roman" w:cs="Microsoft Sans Serif"/>
                <w:sz w:val="20"/>
                <w:szCs w:val="20"/>
                <w:lang w:eastAsia="en-GB"/>
              </w:rPr>
              <w:t>Pb %</w:t>
            </w:r>
          </w:p>
        </w:tc>
        <w:tc>
          <w:tcPr>
            <w:tcW w:w="817" w:type="dxa"/>
          </w:tcPr>
          <w:p w14:paraId="33A3134B" w14:textId="77777777" w:rsidR="005D1871" w:rsidRPr="00063D3E" w:rsidRDefault="005D1871" w:rsidP="00815FFE">
            <w:pPr>
              <w:spacing w:line="360" w:lineRule="auto"/>
              <w:jc w:val="center"/>
              <w:rPr>
                <w:rFonts w:eastAsia="Times New Roman" w:cs="Microsoft Sans Serif"/>
                <w:sz w:val="20"/>
                <w:szCs w:val="20"/>
                <w:lang w:eastAsia="en-GB"/>
              </w:rPr>
            </w:pPr>
            <w:r w:rsidRPr="00063D3E">
              <w:rPr>
                <w:rFonts w:eastAsia="Times New Roman" w:cs="Microsoft Sans Serif"/>
                <w:sz w:val="20"/>
                <w:szCs w:val="20"/>
                <w:lang w:eastAsia="en-GB"/>
              </w:rPr>
              <w:t>other %</w:t>
            </w:r>
          </w:p>
        </w:tc>
      </w:tr>
      <w:tr w:rsidR="005D1871" w:rsidRPr="00063D3E" w14:paraId="4499241A" w14:textId="77777777" w:rsidTr="00AA687F">
        <w:trPr>
          <w:trHeight w:val="300"/>
        </w:trPr>
        <w:tc>
          <w:tcPr>
            <w:tcW w:w="1129" w:type="dxa"/>
          </w:tcPr>
          <w:p w14:paraId="2023A802" w14:textId="77777777" w:rsidR="005D1871" w:rsidRPr="00063D3E" w:rsidRDefault="005D1871" w:rsidP="00815FFE">
            <w:pPr>
              <w:spacing w:line="360" w:lineRule="auto"/>
              <w:rPr>
                <w:rFonts w:eastAsia="Times New Roman" w:cs="Times New Roman"/>
                <w:sz w:val="20"/>
                <w:szCs w:val="20"/>
                <w:lang w:eastAsia="en-GB"/>
              </w:rPr>
            </w:pPr>
            <w:r w:rsidRPr="00063D3E">
              <w:rPr>
                <w:rFonts w:eastAsia="Times New Roman" w:cs="Times New Roman"/>
                <w:sz w:val="20"/>
                <w:szCs w:val="20"/>
                <w:lang w:eastAsia="en-GB"/>
              </w:rPr>
              <w:t>Spirulina</w:t>
            </w:r>
          </w:p>
        </w:tc>
        <w:tc>
          <w:tcPr>
            <w:tcW w:w="993" w:type="dxa"/>
          </w:tcPr>
          <w:p w14:paraId="12F10EE0" w14:textId="77777777" w:rsidR="005D1871" w:rsidRPr="00063D3E" w:rsidRDefault="005D1871" w:rsidP="00815FFE">
            <w:pPr>
              <w:spacing w:line="360" w:lineRule="auto"/>
              <w:jc w:val="center"/>
              <w:rPr>
                <w:sz w:val="20"/>
                <w:szCs w:val="20"/>
              </w:rPr>
            </w:pPr>
            <w:r w:rsidRPr="00063D3E">
              <w:rPr>
                <w:sz w:val="20"/>
                <w:szCs w:val="20"/>
              </w:rPr>
              <w:t>10.31%</w:t>
            </w:r>
          </w:p>
        </w:tc>
        <w:tc>
          <w:tcPr>
            <w:tcW w:w="850" w:type="dxa"/>
            <w:vAlign w:val="center"/>
          </w:tcPr>
          <w:p w14:paraId="44D4590D"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eastAsia="Times New Roman" w:cs="Arial"/>
                <w:bCs/>
                <w:sz w:val="20"/>
                <w:szCs w:val="20"/>
                <w:lang w:eastAsia="en-GB"/>
              </w:rPr>
              <w:t>9.34</w:t>
            </w:r>
          </w:p>
        </w:tc>
        <w:tc>
          <w:tcPr>
            <w:tcW w:w="709" w:type="dxa"/>
            <w:vAlign w:val="center"/>
          </w:tcPr>
          <w:p w14:paraId="216931F9"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eastAsia="Times New Roman" w:cs="Arial"/>
                <w:bCs/>
                <w:sz w:val="20"/>
                <w:szCs w:val="20"/>
                <w:lang w:eastAsia="en-GB"/>
              </w:rPr>
              <w:t>1.12</w:t>
            </w:r>
          </w:p>
        </w:tc>
        <w:tc>
          <w:tcPr>
            <w:tcW w:w="709" w:type="dxa"/>
            <w:vAlign w:val="center"/>
          </w:tcPr>
          <w:p w14:paraId="5BAEE6A9"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eastAsia="Times New Roman" w:cs="Arial"/>
                <w:bCs/>
                <w:sz w:val="20"/>
                <w:szCs w:val="20"/>
                <w:lang w:eastAsia="en-GB"/>
              </w:rPr>
              <w:t>1.78</w:t>
            </w:r>
          </w:p>
        </w:tc>
        <w:tc>
          <w:tcPr>
            <w:tcW w:w="745" w:type="dxa"/>
            <w:vAlign w:val="center"/>
          </w:tcPr>
          <w:p w14:paraId="5FD3CCFD"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cs="Arial"/>
                <w:sz w:val="20"/>
                <w:szCs w:val="20"/>
              </w:rPr>
              <w:t>17.65</w:t>
            </w:r>
          </w:p>
        </w:tc>
        <w:tc>
          <w:tcPr>
            <w:tcW w:w="667" w:type="dxa"/>
            <w:vAlign w:val="center"/>
          </w:tcPr>
          <w:p w14:paraId="5B6BFFD1"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cs="Arial"/>
                <w:sz w:val="20"/>
                <w:szCs w:val="20"/>
              </w:rPr>
              <w:t>6.28</w:t>
            </w:r>
          </w:p>
        </w:tc>
        <w:tc>
          <w:tcPr>
            <w:tcW w:w="629" w:type="dxa"/>
            <w:vAlign w:val="center"/>
          </w:tcPr>
          <w:p w14:paraId="5941E312"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cs="Arial"/>
                <w:sz w:val="20"/>
                <w:szCs w:val="20"/>
              </w:rPr>
              <w:t>0.03</w:t>
            </w:r>
          </w:p>
        </w:tc>
        <w:tc>
          <w:tcPr>
            <w:tcW w:w="621" w:type="dxa"/>
            <w:vAlign w:val="center"/>
          </w:tcPr>
          <w:p w14:paraId="4FB103D4"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cs="Arial"/>
                <w:sz w:val="20"/>
                <w:szCs w:val="20"/>
              </w:rPr>
              <w:t>1.59</w:t>
            </w:r>
          </w:p>
        </w:tc>
        <w:tc>
          <w:tcPr>
            <w:tcW w:w="628" w:type="dxa"/>
            <w:vAlign w:val="center"/>
          </w:tcPr>
          <w:p w14:paraId="54ECB122"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cs="Arial"/>
                <w:sz w:val="20"/>
                <w:szCs w:val="20"/>
              </w:rPr>
              <w:t>0.0015</w:t>
            </w:r>
          </w:p>
        </w:tc>
        <w:tc>
          <w:tcPr>
            <w:tcW w:w="637" w:type="dxa"/>
            <w:vAlign w:val="center"/>
          </w:tcPr>
          <w:p w14:paraId="17544C61"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cs="Arial"/>
                <w:sz w:val="20"/>
                <w:szCs w:val="20"/>
              </w:rPr>
              <w:t>0.0047</w:t>
            </w:r>
          </w:p>
        </w:tc>
        <w:tc>
          <w:tcPr>
            <w:tcW w:w="817" w:type="dxa"/>
            <w:vAlign w:val="center"/>
          </w:tcPr>
          <w:p w14:paraId="1802F5B7" w14:textId="77777777" w:rsidR="005D1871" w:rsidRPr="00063D3E" w:rsidRDefault="005D1871" w:rsidP="00815FFE">
            <w:pPr>
              <w:spacing w:line="360" w:lineRule="auto"/>
              <w:jc w:val="center"/>
              <w:rPr>
                <w:rFonts w:eastAsia="Times New Roman" w:cs="Times New Roman"/>
                <w:sz w:val="20"/>
                <w:szCs w:val="20"/>
                <w:lang w:eastAsia="en-GB"/>
              </w:rPr>
            </w:pPr>
            <w:r w:rsidRPr="00063D3E">
              <w:rPr>
                <w:rFonts w:cs="Arial"/>
                <w:sz w:val="20"/>
                <w:szCs w:val="20"/>
              </w:rPr>
              <w:t>62.21</w:t>
            </w:r>
          </w:p>
        </w:tc>
      </w:tr>
      <w:tr w:rsidR="005D1871" w:rsidRPr="00063D3E" w14:paraId="4EC4C627" w14:textId="77777777" w:rsidTr="00AA687F">
        <w:trPr>
          <w:trHeight w:val="300"/>
        </w:trPr>
        <w:tc>
          <w:tcPr>
            <w:tcW w:w="1129" w:type="dxa"/>
          </w:tcPr>
          <w:p w14:paraId="420AE33F" w14:textId="72AA8069" w:rsidR="005D1871" w:rsidRPr="00063D3E" w:rsidRDefault="00815FFE" w:rsidP="00815FFE">
            <w:pPr>
              <w:spacing w:line="360" w:lineRule="auto"/>
              <w:rPr>
                <w:rFonts w:eastAsia="Times New Roman" w:cs="Times New Roman"/>
                <w:sz w:val="20"/>
                <w:szCs w:val="20"/>
                <w:lang w:eastAsia="en-GB"/>
              </w:rPr>
            </w:pPr>
            <w:r>
              <w:rPr>
                <w:rFonts w:eastAsia="Times New Roman" w:cs="Times New Roman"/>
                <w:sz w:val="20"/>
                <w:szCs w:val="20"/>
                <w:lang w:eastAsia="en-GB"/>
              </w:rPr>
              <w:t>AMD</w:t>
            </w:r>
            <w:r w:rsidR="009F42EB">
              <w:rPr>
                <w:rFonts w:eastAsia="Times New Roman" w:cs="Times New Roman"/>
                <w:sz w:val="20"/>
                <w:szCs w:val="20"/>
                <w:lang w:eastAsia="en-GB"/>
              </w:rPr>
              <w:t>-</w:t>
            </w:r>
            <w:r>
              <w:rPr>
                <w:rFonts w:eastAsia="Times New Roman" w:cs="Times New Roman"/>
                <w:sz w:val="20"/>
                <w:szCs w:val="20"/>
                <w:lang w:eastAsia="en-GB"/>
              </w:rPr>
              <w:t>1</w:t>
            </w:r>
          </w:p>
        </w:tc>
        <w:tc>
          <w:tcPr>
            <w:tcW w:w="993" w:type="dxa"/>
          </w:tcPr>
          <w:p w14:paraId="36BCADA5"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10.85</w:t>
            </w:r>
          </w:p>
        </w:tc>
        <w:tc>
          <w:tcPr>
            <w:tcW w:w="850" w:type="dxa"/>
          </w:tcPr>
          <w:p w14:paraId="7F5E70E6"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28.54</w:t>
            </w:r>
          </w:p>
        </w:tc>
        <w:tc>
          <w:tcPr>
            <w:tcW w:w="709" w:type="dxa"/>
          </w:tcPr>
          <w:p w14:paraId="651E1F37"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2.86</w:t>
            </w:r>
          </w:p>
        </w:tc>
        <w:tc>
          <w:tcPr>
            <w:tcW w:w="709" w:type="dxa"/>
          </w:tcPr>
          <w:p w14:paraId="4FA05DF7"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4.47</w:t>
            </w:r>
          </w:p>
        </w:tc>
        <w:tc>
          <w:tcPr>
            <w:tcW w:w="745" w:type="dxa"/>
          </w:tcPr>
          <w:p w14:paraId="5641B687"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13.79</w:t>
            </w:r>
          </w:p>
        </w:tc>
        <w:tc>
          <w:tcPr>
            <w:tcW w:w="667" w:type="dxa"/>
          </w:tcPr>
          <w:p w14:paraId="3204452A"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3.75</w:t>
            </w:r>
          </w:p>
        </w:tc>
        <w:tc>
          <w:tcPr>
            <w:tcW w:w="629" w:type="dxa"/>
          </w:tcPr>
          <w:p w14:paraId="68DE3A37"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3.02</w:t>
            </w:r>
          </w:p>
        </w:tc>
        <w:tc>
          <w:tcPr>
            <w:tcW w:w="621" w:type="dxa"/>
          </w:tcPr>
          <w:p w14:paraId="306C47A4"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7.33</w:t>
            </w:r>
          </w:p>
        </w:tc>
        <w:tc>
          <w:tcPr>
            <w:tcW w:w="628" w:type="dxa"/>
          </w:tcPr>
          <w:p w14:paraId="45053B7D"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0.01</w:t>
            </w:r>
          </w:p>
        </w:tc>
        <w:tc>
          <w:tcPr>
            <w:tcW w:w="637" w:type="dxa"/>
          </w:tcPr>
          <w:p w14:paraId="74C80D3D"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0.12</w:t>
            </w:r>
          </w:p>
        </w:tc>
        <w:tc>
          <w:tcPr>
            <w:tcW w:w="817" w:type="dxa"/>
          </w:tcPr>
          <w:p w14:paraId="39B0CD67"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36.10</w:t>
            </w:r>
          </w:p>
        </w:tc>
      </w:tr>
      <w:tr w:rsidR="005D1871" w:rsidRPr="00063D3E" w14:paraId="631C5DDF" w14:textId="77777777" w:rsidTr="00AA687F">
        <w:trPr>
          <w:trHeight w:val="300"/>
        </w:trPr>
        <w:tc>
          <w:tcPr>
            <w:tcW w:w="1129" w:type="dxa"/>
          </w:tcPr>
          <w:p w14:paraId="6DF2A8EC" w14:textId="120D4424" w:rsidR="005D1871" w:rsidRPr="00063D3E" w:rsidRDefault="00815FFE" w:rsidP="00815FFE">
            <w:pPr>
              <w:spacing w:line="360" w:lineRule="auto"/>
              <w:rPr>
                <w:rFonts w:eastAsia="Times New Roman" w:cs="Times New Roman"/>
                <w:sz w:val="20"/>
                <w:szCs w:val="20"/>
                <w:lang w:eastAsia="en-GB"/>
              </w:rPr>
            </w:pPr>
            <w:r>
              <w:rPr>
                <w:rFonts w:eastAsia="Times New Roman" w:cs="Times New Roman"/>
                <w:sz w:val="20"/>
                <w:szCs w:val="20"/>
                <w:lang w:eastAsia="en-GB"/>
              </w:rPr>
              <w:t>AMD</w:t>
            </w:r>
            <w:r w:rsidR="009F42EB">
              <w:rPr>
                <w:rFonts w:eastAsia="Times New Roman" w:cs="Times New Roman"/>
                <w:sz w:val="20"/>
                <w:szCs w:val="20"/>
                <w:lang w:eastAsia="en-GB"/>
              </w:rPr>
              <w:t>-</w:t>
            </w:r>
            <w:r>
              <w:rPr>
                <w:rFonts w:eastAsia="Times New Roman" w:cs="Times New Roman"/>
                <w:sz w:val="20"/>
                <w:szCs w:val="20"/>
                <w:lang w:eastAsia="en-GB"/>
              </w:rPr>
              <w:t>2</w:t>
            </w:r>
          </w:p>
        </w:tc>
        <w:tc>
          <w:tcPr>
            <w:tcW w:w="993" w:type="dxa"/>
          </w:tcPr>
          <w:p w14:paraId="11474F03"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55.34</w:t>
            </w:r>
          </w:p>
        </w:tc>
        <w:tc>
          <w:tcPr>
            <w:tcW w:w="850" w:type="dxa"/>
          </w:tcPr>
          <w:p w14:paraId="77AEE181"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10.45</w:t>
            </w:r>
          </w:p>
        </w:tc>
        <w:tc>
          <w:tcPr>
            <w:tcW w:w="709" w:type="dxa"/>
          </w:tcPr>
          <w:p w14:paraId="0B0E13A5"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1.46</w:t>
            </w:r>
          </w:p>
        </w:tc>
        <w:tc>
          <w:tcPr>
            <w:tcW w:w="709" w:type="dxa"/>
          </w:tcPr>
          <w:p w14:paraId="36144522"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1.68</w:t>
            </w:r>
          </w:p>
        </w:tc>
        <w:tc>
          <w:tcPr>
            <w:tcW w:w="745" w:type="dxa"/>
          </w:tcPr>
          <w:p w14:paraId="42ACF8ED"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4.48</w:t>
            </w:r>
          </w:p>
        </w:tc>
        <w:tc>
          <w:tcPr>
            <w:tcW w:w="667" w:type="dxa"/>
          </w:tcPr>
          <w:p w14:paraId="00D67232"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0.14</w:t>
            </w:r>
          </w:p>
        </w:tc>
        <w:tc>
          <w:tcPr>
            <w:tcW w:w="629" w:type="dxa"/>
          </w:tcPr>
          <w:p w14:paraId="3DE79053"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0.11</w:t>
            </w:r>
          </w:p>
        </w:tc>
        <w:tc>
          <w:tcPr>
            <w:tcW w:w="621" w:type="dxa"/>
          </w:tcPr>
          <w:p w14:paraId="7798A7C7" w14:textId="77777777" w:rsidR="005D1871" w:rsidRPr="00063D3E" w:rsidRDefault="005D1871" w:rsidP="00815FFE">
            <w:pPr>
              <w:spacing w:line="360" w:lineRule="auto"/>
              <w:jc w:val="center"/>
              <w:rPr>
                <w:rFonts w:eastAsia="Times New Roman" w:cs="Times New Roman"/>
                <w:sz w:val="20"/>
                <w:szCs w:val="20"/>
                <w:lang w:eastAsia="en-GB"/>
              </w:rPr>
            </w:pPr>
            <w:r>
              <w:rPr>
                <w:sz w:val="20"/>
                <w:szCs w:val="20"/>
              </w:rPr>
              <w:t>50.1</w:t>
            </w:r>
          </w:p>
        </w:tc>
        <w:tc>
          <w:tcPr>
            <w:tcW w:w="628" w:type="dxa"/>
          </w:tcPr>
          <w:p w14:paraId="36696A9D"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0.00</w:t>
            </w:r>
          </w:p>
        </w:tc>
        <w:tc>
          <w:tcPr>
            <w:tcW w:w="637" w:type="dxa"/>
          </w:tcPr>
          <w:p w14:paraId="052BE37A" w14:textId="77777777" w:rsidR="005D1871" w:rsidRPr="00063D3E" w:rsidRDefault="005D1871" w:rsidP="00815FFE">
            <w:pPr>
              <w:spacing w:line="360" w:lineRule="auto"/>
              <w:jc w:val="center"/>
              <w:rPr>
                <w:rFonts w:eastAsia="Times New Roman" w:cs="Times New Roman"/>
                <w:sz w:val="20"/>
                <w:szCs w:val="20"/>
                <w:lang w:eastAsia="en-GB"/>
              </w:rPr>
            </w:pPr>
            <w:r w:rsidRPr="00063D3E">
              <w:rPr>
                <w:sz w:val="20"/>
                <w:szCs w:val="20"/>
              </w:rPr>
              <w:t>0.01</w:t>
            </w:r>
          </w:p>
        </w:tc>
        <w:tc>
          <w:tcPr>
            <w:tcW w:w="817" w:type="dxa"/>
          </w:tcPr>
          <w:p w14:paraId="7FC27C02" w14:textId="77777777" w:rsidR="005D1871" w:rsidRPr="00063D3E" w:rsidRDefault="005D1871" w:rsidP="00815FFE">
            <w:pPr>
              <w:keepNext/>
              <w:spacing w:line="360" w:lineRule="auto"/>
              <w:jc w:val="center"/>
              <w:rPr>
                <w:rFonts w:eastAsia="Times New Roman" w:cs="Times New Roman"/>
                <w:sz w:val="20"/>
                <w:szCs w:val="20"/>
                <w:lang w:eastAsia="en-GB"/>
              </w:rPr>
            </w:pPr>
            <w:r w:rsidRPr="00063D3E">
              <w:rPr>
                <w:sz w:val="20"/>
                <w:szCs w:val="20"/>
              </w:rPr>
              <w:t>31.54</w:t>
            </w:r>
          </w:p>
        </w:tc>
      </w:tr>
    </w:tbl>
    <w:p w14:paraId="6285CE83" w14:textId="77777777" w:rsidR="00177A11" w:rsidRDefault="00177A11" w:rsidP="00B50382">
      <w:pPr>
        <w:spacing w:line="480" w:lineRule="auto"/>
        <w:rPr>
          <w:sz w:val="20"/>
        </w:rPr>
      </w:pPr>
    </w:p>
    <w:p w14:paraId="027A4266" w14:textId="7E71E6A7" w:rsidR="00B50382" w:rsidRDefault="00B50382" w:rsidP="00B50382">
      <w:pPr>
        <w:spacing w:line="480" w:lineRule="auto"/>
      </w:pPr>
      <w:r w:rsidRPr="00997571">
        <w:t xml:space="preserve">For the </w:t>
      </w:r>
      <w:r>
        <w:t>AMD</w:t>
      </w:r>
      <w:r w:rsidR="009F42EB">
        <w:t>-</w:t>
      </w:r>
      <w:r>
        <w:t>2</w:t>
      </w:r>
      <w:r w:rsidRPr="00997571">
        <w:t>, the decrease in bio-</w:t>
      </w:r>
      <w:r w:rsidR="00351241">
        <w:t>oil</w:t>
      </w:r>
      <w:r w:rsidRPr="00997571">
        <w:t xml:space="preserve"> yield was matched by a large increase in the </w:t>
      </w:r>
      <w:r w:rsidR="005651AD">
        <w:t>solid residue</w:t>
      </w:r>
      <w:r w:rsidRPr="00997571">
        <w:t xml:space="preserve"> yield, with</w:t>
      </w:r>
      <w:r w:rsidR="00CF477E">
        <w:t xml:space="preserve"> solid residue comprising</w:t>
      </w:r>
      <w:r w:rsidRPr="00997571">
        <w:t xml:space="preserve"> 55 % of the product by weight, compared with ca. 10 % for pure Spirulina</w:t>
      </w:r>
      <w:r w:rsidR="00815FFE">
        <w:t xml:space="preserve"> </w:t>
      </w:r>
      <w:r w:rsidR="005D68B2">
        <w:t xml:space="preserve">and AMD1 </w:t>
      </w:r>
      <w:r w:rsidR="00815FFE">
        <w:t>(table 6)</w:t>
      </w:r>
      <w:r w:rsidRPr="00997571">
        <w:t xml:space="preserve">. Elemental analysis of the </w:t>
      </w:r>
      <w:r w:rsidR="005651AD">
        <w:t>solid residue</w:t>
      </w:r>
      <w:r w:rsidRPr="00997571">
        <w:t xml:space="preserve"> reveals that the CHN ratios are similar to those detected in the </w:t>
      </w:r>
      <w:r w:rsidR="005651AD">
        <w:t>solid residue</w:t>
      </w:r>
      <w:r w:rsidRPr="00997571">
        <w:t xml:space="preserve"> from HTL of both Spirulina </w:t>
      </w:r>
      <w:r w:rsidR="000A111A">
        <w:t>with and without</w:t>
      </w:r>
      <w:r w:rsidRPr="00997571">
        <w:t xml:space="preserve"> metal additives, but </w:t>
      </w:r>
      <w:r w:rsidR="005D68B2" w:rsidRPr="00997571">
        <w:t>di</w:t>
      </w:r>
      <w:r w:rsidR="005D68B2">
        <w:t>stinct from</w:t>
      </w:r>
      <w:r w:rsidRPr="00997571">
        <w:t xml:space="preserve"> those observed for </w:t>
      </w:r>
      <w:r>
        <w:t>AMD1 algal culture</w:t>
      </w:r>
      <w:r w:rsidRPr="00997571">
        <w:t xml:space="preserve">. Both metals and phosphorus are present at higher mass fractions in the </w:t>
      </w:r>
      <w:r w:rsidR="005651AD">
        <w:t>solid residue</w:t>
      </w:r>
      <w:r w:rsidRPr="00997571">
        <w:t xml:space="preserve"> pha</w:t>
      </w:r>
      <w:r>
        <w:t>se than in the starting biomass</w:t>
      </w:r>
      <w:r w:rsidRPr="00997571">
        <w:t xml:space="preserve">. The </w:t>
      </w:r>
      <w:r>
        <w:t>AMD1</w:t>
      </w:r>
      <w:r w:rsidRPr="00997571">
        <w:t xml:space="preserve"> </w:t>
      </w:r>
      <w:r w:rsidR="005651AD">
        <w:t>solid residue</w:t>
      </w:r>
      <w:r w:rsidRPr="00997571">
        <w:t xml:space="preserve"> contained moderate levels of Zn and Mg (3 % and 3.75 %, respectively), and somewhat less Fe (7 %) than expected from the model</w:t>
      </w:r>
      <w:r w:rsidR="00075A7D">
        <w:t>.</w:t>
      </w:r>
      <w:r w:rsidRPr="00997571">
        <w:t xml:space="preserve">Sn and Pb were also detected at low levels. The </w:t>
      </w:r>
      <w:r>
        <w:t>AMD2</w:t>
      </w:r>
      <w:r w:rsidRPr="00997571">
        <w:t xml:space="preserve"> algal </w:t>
      </w:r>
      <w:r w:rsidR="005651AD">
        <w:t>solid residue</w:t>
      </w:r>
      <w:r w:rsidRPr="00997571">
        <w:t xml:space="preserve"> contained predominantly Fe (50 %) with little contribution from other metals (0.11 % Zn and 0.14 % Mg).</w:t>
      </w:r>
    </w:p>
    <w:p w14:paraId="344D1F50" w14:textId="77777777" w:rsidR="007A4807" w:rsidRDefault="007A4807" w:rsidP="00B50382">
      <w:pPr>
        <w:spacing w:line="480" w:lineRule="auto"/>
      </w:pPr>
    </w:p>
    <w:p w14:paraId="2751FF86" w14:textId="77777777" w:rsidR="00075272" w:rsidRDefault="0020482B" w:rsidP="00075272">
      <w:pPr>
        <w:spacing w:line="480" w:lineRule="auto"/>
        <w:rPr>
          <w:sz w:val="20"/>
        </w:rPr>
      </w:pPr>
      <w:r>
        <w:rPr>
          <w:noProof/>
          <w:lang w:eastAsia="en-GB"/>
        </w:rPr>
        <w:drawing>
          <wp:inline distT="0" distB="0" distL="0" distR="0" wp14:anchorId="77BED4BF" wp14:editId="6EF49A72">
            <wp:extent cx="2853055" cy="2171700"/>
            <wp:effectExtent l="0" t="0" r="4445"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C48191" w14:textId="77777777" w:rsidR="0020482B" w:rsidRPr="005017ED" w:rsidRDefault="0020482B" w:rsidP="00075272">
      <w:pPr>
        <w:spacing w:line="480" w:lineRule="auto"/>
        <w:rPr>
          <w:sz w:val="20"/>
        </w:rPr>
      </w:pPr>
      <w:r w:rsidRPr="005017ED">
        <w:rPr>
          <w:sz w:val="20"/>
        </w:rPr>
        <w:t>Fig. 7 Nutrient content of the aqueous phase on the hydrothermal processing of algal cultures used in the remediation of acid mine drainage.</w:t>
      </w:r>
    </w:p>
    <w:p w14:paraId="00AB3F8B" w14:textId="229C56D4" w:rsidR="0020482B" w:rsidRPr="00997571" w:rsidRDefault="0020482B" w:rsidP="00B50382">
      <w:pPr>
        <w:spacing w:line="480" w:lineRule="auto"/>
      </w:pPr>
      <w:r>
        <w:t>In the aqueous phase, the t</w:t>
      </w:r>
      <w:r w:rsidRPr="00997571">
        <w:t xml:space="preserve">otal N is lower for </w:t>
      </w:r>
      <w:r>
        <w:t>AMD</w:t>
      </w:r>
      <w:r w:rsidR="009F42EB">
        <w:t>-</w:t>
      </w:r>
      <w:r>
        <w:t>1</w:t>
      </w:r>
      <w:r w:rsidRPr="00997571">
        <w:t xml:space="preserve"> algae than Spirulina, and lower again for the </w:t>
      </w:r>
      <w:r>
        <w:t>AMD</w:t>
      </w:r>
      <w:r w:rsidR="009F42EB">
        <w:t>-</w:t>
      </w:r>
      <w:r>
        <w:t>2</w:t>
      </w:r>
      <w:r w:rsidRPr="00997571">
        <w:t xml:space="preserve"> algae, likely to be caused by the comparatively lowered N content of the starting biomass. A similar pattern was also seen for NH</w:t>
      </w:r>
      <w:r w:rsidRPr="00422791">
        <w:rPr>
          <w:vertAlign w:val="subscript"/>
        </w:rPr>
        <w:t>4</w:t>
      </w:r>
      <w:r w:rsidRPr="00422791">
        <w:rPr>
          <w:vertAlign w:val="superscript"/>
        </w:rPr>
        <w:t>+</w:t>
      </w:r>
      <w:r w:rsidRPr="00997571">
        <w:t>.</w:t>
      </w:r>
      <w:r>
        <w:t xml:space="preserve"> </w:t>
      </w:r>
      <w:r w:rsidRPr="00997571">
        <w:t xml:space="preserve">Phosphate analysis of the aqueous phase revealed that the phosphate content of the process water from liquefaction of </w:t>
      </w:r>
      <w:r>
        <w:t>AMD</w:t>
      </w:r>
      <w:r w:rsidR="009F42EB">
        <w:t>-</w:t>
      </w:r>
      <w:r>
        <w:t>1</w:t>
      </w:r>
      <w:r w:rsidRPr="00997571">
        <w:t xml:space="preserve"> biomass was similar to that of pure </w:t>
      </w:r>
      <w:r w:rsidRPr="000A111A">
        <w:t>Spirulina</w:t>
      </w:r>
      <w:r w:rsidRPr="00997571">
        <w:t>, whereas the process water</w:t>
      </w:r>
      <w:r w:rsidR="005D1871">
        <w:t xml:space="preserve"> from AMD</w:t>
      </w:r>
      <w:r w:rsidR="009F42EB">
        <w:t>-</w:t>
      </w:r>
      <w:r w:rsidR="005D1871">
        <w:t>2</w:t>
      </w:r>
      <w:r w:rsidRPr="00997571">
        <w:t xml:space="preserve"> contained extremely low phosphate levels</w:t>
      </w:r>
      <w:r w:rsidR="005D1871">
        <w:t>,</w:t>
      </w:r>
      <w:r w:rsidRPr="00997571">
        <w:t xml:space="preserve"> </w:t>
      </w:r>
      <w:r>
        <w:t xml:space="preserve">presumably a combination of </w:t>
      </w:r>
      <w:r w:rsidRPr="00997571">
        <w:t xml:space="preserve">the comparatively lower starting concentration of biomass </w:t>
      </w:r>
      <w:r>
        <w:t>and the high levels of iron and magnesium in the original starting material</w:t>
      </w:r>
      <w:r w:rsidR="00157550">
        <w:t xml:space="preserve"> </w:t>
      </w:r>
      <w:r w:rsidR="000833BF">
        <w:t>l</w:t>
      </w:r>
      <w:r w:rsidR="00157550">
        <w:t>eading to precipitation of Zn and Fe phosphates</w:t>
      </w:r>
      <w:r>
        <w:t xml:space="preserve">. </w:t>
      </w:r>
    </w:p>
    <w:p w14:paraId="44B15CE3" w14:textId="58D5D49B" w:rsidR="0020482B" w:rsidRPr="00997571" w:rsidRDefault="000833BF" w:rsidP="00B50382">
      <w:pPr>
        <w:spacing w:line="480" w:lineRule="auto"/>
      </w:pPr>
      <w:r>
        <w:t>E</w:t>
      </w:r>
      <w:r w:rsidR="0020482B">
        <w:t>levated level</w:t>
      </w:r>
      <w:r>
        <w:t>s</w:t>
      </w:r>
      <w:r w:rsidR="0020482B">
        <w:t xml:space="preserve"> of iron </w:t>
      </w:r>
      <w:r>
        <w:t>were</w:t>
      </w:r>
      <w:r w:rsidR="0020482B">
        <w:t xml:space="preserve"> present in the process water </w:t>
      </w:r>
      <w:r>
        <w:t xml:space="preserve">produced from the HTL of the </w:t>
      </w:r>
      <w:r w:rsidR="0020482B">
        <w:t>AMD</w:t>
      </w:r>
      <w:r w:rsidR="009F42EB">
        <w:t>-</w:t>
      </w:r>
      <w:r w:rsidR="0020482B">
        <w:t>2</w:t>
      </w:r>
      <w:r w:rsidR="0020482B" w:rsidRPr="00997571">
        <w:t xml:space="preserve"> algae. Little Fe partitioning to the aqueous phase is observed in the </w:t>
      </w:r>
      <w:r w:rsidR="0020482B" w:rsidRPr="000A111A">
        <w:t>Spirulina</w:t>
      </w:r>
      <w:r w:rsidR="0020482B" w:rsidRPr="00997571">
        <w:t xml:space="preserve"> model even at relatively high loadings, but the </w:t>
      </w:r>
      <w:r w:rsidR="0020482B">
        <w:t>AMD</w:t>
      </w:r>
      <w:r w:rsidR="009F42EB">
        <w:t>-</w:t>
      </w:r>
      <w:r w:rsidR="0020482B">
        <w:t>2 alga</w:t>
      </w:r>
      <w:r w:rsidR="0020482B" w:rsidRPr="00997571">
        <w:t xml:space="preserve">e material </w:t>
      </w:r>
      <w:r w:rsidR="0020482B">
        <w:t xml:space="preserve">seemingly </w:t>
      </w:r>
      <w:r w:rsidR="0020482B" w:rsidRPr="00997571">
        <w:t xml:space="preserve">contained a sufficiently high initial Fe concentration for this to occur. Magnesium recovery in the aqueous phase was also high, although no zinc was recovered. This is in agreement with the Spirulina model: even at high loadings, little zinc recovery in the aqueous phase is observed, and Mg partitions to the aqueous phase relatively readily. </w:t>
      </w:r>
    </w:p>
    <w:p w14:paraId="029AF48A" w14:textId="77777777" w:rsidR="000833BF" w:rsidRDefault="000833BF" w:rsidP="000833BF">
      <w:pPr>
        <w:spacing w:line="480" w:lineRule="auto"/>
      </w:pPr>
      <w:r>
        <w:rPr>
          <w:noProof/>
          <w:lang w:eastAsia="en-GB"/>
        </w:rPr>
        <w:drawing>
          <wp:inline distT="0" distB="0" distL="0" distR="0" wp14:anchorId="69AB9582" wp14:editId="047C50C9">
            <wp:extent cx="2844000" cy="2160000"/>
            <wp:effectExtent l="0" t="0" r="13970" b="1206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DA40DA1" w14:textId="745D434F" w:rsidR="000833BF" w:rsidRPr="005017ED" w:rsidRDefault="000833BF" w:rsidP="000833BF">
      <w:pPr>
        <w:spacing w:line="480" w:lineRule="auto"/>
        <w:jc w:val="center"/>
        <w:rPr>
          <w:sz w:val="20"/>
        </w:rPr>
      </w:pPr>
      <w:r w:rsidRPr="005017ED">
        <w:rPr>
          <w:sz w:val="20"/>
        </w:rPr>
        <w:t>Figure 8. Cell count and phosphate use of AMD</w:t>
      </w:r>
      <w:r w:rsidR="009F42EB">
        <w:rPr>
          <w:sz w:val="20"/>
        </w:rPr>
        <w:t>-</w:t>
      </w:r>
      <w:r w:rsidRPr="005017ED">
        <w:rPr>
          <w:sz w:val="20"/>
        </w:rPr>
        <w:t>1 cultured in a 10</w:t>
      </w:r>
      <w:r w:rsidR="009F42EB">
        <w:rPr>
          <w:sz w:val="20"/>
        </w:rPr>
        <w:t>l</w:t>
      </w:r>
      <w:r w:rsidRPr="005017ED">
        <w:rPr>
          <w:sz w:val="20"/>
        </w:rPr>
        <w:t xml:space="preserve"> </w:t>
      </w:r>
      <w:r w:rsidR="009F42EB">
        <w:rPr>
          <w:sz w:val="20"/>
        </w:rPr>
        <w:t>bubble column</w:t>
      </w:r>
      <w:r w:rsidRPr="005017ED">
        <w:rPr>
          <w:sz w:val="20"/>
        </w:rPr>
        <w:t xml:space="preserve"> bioreactor cultured on </w:t>
      </w:r>
      <w:r w:rsidR="009F42EB">
        <w:rPr>
          <w:sz w:val="20"/>
        </w:rPr>
        <w:t>s</w:t>
      </w:r>
      <w:r w:rsidRPr="005017ED">
        <w:rPr>
          <w:sz w:val="20"/>
        </w:rPr>
        <w:t xml:space="preserve">AMD with the supplementary aqueous phase produced from the HTL of </w:t>
      </w:r>
      <w:r w:rsidR="009F42EB">
        <w:rPr>
          <w:sz w:val="20"/>
        </w:rPr>
        <w:t>the Spirulina</w:t>
      </w:r>
      <w:r w:rsidRPr="005017ED">
        <w:rPr>
          <w:sz w:val="20"/>
        </w:rPr>
        <w:t xml:space="preserve"> biomass.  The bioreactor was run in duplicate.</w:t>
      </w:r>
    </w:p>
    <w:p w14:paraId="552B4794" w14:textId="17D6B8FE" w:rsidR="001E3829" w:rsidRDefault="001E3829" w:rsidP="001E3829">
      <w:pPr>
        <w:spacing w:line="480" w:lineRule="auto"/>
      </w:pPr>
      <w:r>
        <w:t xml:space="preserve">As the acid mine drainage only contains trace </w:t>
      </w:r>
      <w:r w:rsidR="00BB3734">
        <w:t xml:space="preserve">levels </w:t>
      </w:r>
      <w:r>
        <w:t>of phosphate and ammonium, it must be supplemented by these elements to ensure algal growth. The effectiveness of the HTL output streams to supplement microalgal culture was established by combining the aqueous phase produced from the HTL of Spirulina with the sAMD media (Figure 8).  Previous work demonstrated that a dilution factor 1:100 for HTL water was a general good compromise for a reasonable biomass concentration, high grow rate and low toxicity. Chemical analysis showed that the diluted HTL aqueous phase had a total nitrogen and ph</w:t>
      </w:r>
      <w:r w:rsidR="009F42EB">
        <w:t>osphate concentration of 200 mg l</w:t>
      </w:r>
      <w:r w:rsidR="009F42EB" w:rsidRPr="009F42EB">
        <w:rPr>
          <w:vertAlign w:val="superscript"/>
        </w:rPr>
        <w:t>-1</w:t>
      </w:r>
      <w:r>
        <w:t xml:space="preserve"> and 18 mg</w:t>
      </w:r>
      <w:r w:rsidR="009F42EB">
        <w:t xml:space="preserve"> l</w:t>
      </w:r>
      <w:r w:rsidR="009F42EB" w:rsidRPr="009F42EB">
        <w:rPr>
          <w:vertAlign w:val="superscript"/>
        </w:rPr>
        <w:t>-1</w:t>
      </w:r>
      <w:r>
        <w:t xml:space="preserve"> respectively, thus representing a suitable source of these elements.</w:t>
      </w:r>
    </w:p>
    <w:p w14:paraId="7865E077" w14:textId="446EC64D" w:rsidR="001E3829" w:rsidRDefault="001E3829" w:rsidP="001E3829">
      <w:pPr>
        <w:spacing w:line="480" w:lineRule="auto"/>
      </w:pPr>
      <w:r>
        <w:t xml:space="preserve"> The algal culture was then grown over 15 days in a 10 </w:t>
      </w:r>
      <w:r w:rsidR="009F42EB">
        <w:t>l bubble column</w:t>
      </w:r>
      <w:r>
        <w:t xml:space="preserve"> bioreactor at an average temperature of 18 °C. The culture grew well, with 4 x 10</w:t>
      </w:r>
      <w:r w:rsidRPr="001E3829">
        <w:rPr>
          <w:vertAlign w:val="superscript"/>
        </w:rPr>
        <w:t>6</w:t>
      </w:r>
      <w:r>
        <w:t xml:space="preserve"> cells</w:t>
      </w:r>
      <w:r w:rsidR="00BB3734">
        <w:t xml:space="preserve"> </w:t>
      </w:r>
      <w:r>
        <w:t>ml</w:t>
      </w:r>
      <w:r w:rsidR="00BB3734" w:rsidRPr="00BB3734">
        <w:rPr>
          <w:vertAlign w:val="superscript"/>
        </w:rPr>
        <w:t>-1</w:t>
      </w:r>
      <w:r>
        <w:t xml:space="preserve"> obtained after 7 days from inoculation, demonstrating that the HTL phase was not unduly toxic or nitrogen limited, in addition the algae were able to utilise around 75% of the phosphate provided from the HTL process. The overall data demonstrate that the nutrients lacking in the remediation can be provided by the HTL process, rather than needing additional fertilizer input. </w:t>
      </w:r>
    </w:p>
    <w:p w14:paraId="63453C71" w14:textId="5EA6AA03" w:rsidR="005D1871" w:rsidRDefault="005D1871" w:rsidP="005D1871">
      <w:pPr>
        <w:spacing w:line="480" w:lineRule="auto"/>
      </w:pPr>
      <w:r w:rsidRPr="00997571">
        <w:t>The gas yields from both algae were similar to those obtained from</w:t>
      </w:r>
      <w:r>
        <w:t xml:space="preserve"> Spirulina (around 10 % by mass</w:t>
      </w:r>
      <w:r w:rsidRPr="00997571">
        <w:t>), with composition remaining unaffected</w:t>
      </w:r>
      <w:r w:rsidR="00075A7D">
        <w:t xml:space="preserve"> giving</w:t>
      </w:r>
      <w:r w:rsidRPr="00997571">
        <w:t xml:space="preserve"> 98.9 % and 99.3 % CO</w:t>
      </w:r>
      <w:r w:rsidRPr="001F7E1A">
        <w:rPr>
          <w:vertAlign w:val="subscript"/>
        </w:rPr>
        <w:t>2</w:t>
      </w:r>
      <w:r w:rsidRPr="00997571">
        <w:t xml:space="preserve"> for the </w:t>
      </w:r>
      <w:r>
        <w:t>AMD</w:t>
      </w:r>
      <w:r w:rsidR="009F42EB">
        <w:t>-</w:t>
      </w:r>
      <w:r>
        <w:t>1 and AMD</w:t>
      </w:r>
      <w:r w:rsidR="009F42EB">
        <w:t>-</w:t>
      </w:r>
      <w:r>
        <w:t xml:space="preserve">2 biomass, </w:t>
      </w:r>
      <w:r w:rsidRPr="00997571">
        <w:t>respectively</w:t>
      </w:r>
      <w:r w:rsidR="00D626D3">
        <w:t>, which should be amenable for use to further stimulate algal growth</w:t>
      </w:r>
      <w:r w:rsidRPr="00997571">
        <w:t xml:space="preserve">. The main </w:t>
      </w:r>
      <w:r>
        <w:t>VOCs</w:t>
      </w:r>
      <w:r w:rsidRPr="001F7E1A">
        <w:rPr>
          <w:vertAlign w:val="subscript"/>
        </w:rPr>
        <w:t xml:space="preserve"> </w:t>
      </w:r>
      <w:r w:rsidRPr="00997571">
        <w:t>comp</w:t>
      </w:r>
      <w:r>
        <w:t>onents of the gaseous products from AMD</w:t>
      </w:r>
      <w:r w:rsidR="009F42EB">
        <w:t>-</w:t>
      </w:r>
      <w:r>
        <w:t xml:space="preserve">1 were similar to the </w:t>
      </w:r>
      <w:r w:rsidRPr="00997571">
        <w:t xml:space="preserve">gas products </w:t>
      </w:r>
      <w:r>
        <w:t>identified from Spirulina liquefied at 310 °C, though AMD</w:t>
      </w:r>
      <w:r w:rsidR="009F42EB">
        <w:t>-</w:t>
      </w:r>
      <w:r>
        <w:t>2 only produced propene and isobutylene in significant quantities (see supporting information)</w:t>
      </w:r>
      <w:r w:rsidRPr="00997571">
        <w:t>.</w:t>
      </w:r>
    </w:p>
    <w:p w14:paraId="0897CEE0" w14:textId="77777777" w:rsidR="0020482B" w:rsidRPr="005017ED" w:rsidRDefault="005017ED" w:rsidP="00B50382">
      <w:pPr>
        <w:spacing w:line="480" w:lineRule="auto"/>
        <w:rPr>
          <w:b/>
          <w:sz w:val="28"/>
        </w:rPr>
      </w:pPr>
      <w:r w:rsidRPr="005017ED">
        <w:rPr>
          <w:b/>
          <w:sz w:val="28"/>
        </w:rPr>
        <w:t xml:space="preserve">4. </w:t>
      </w:r>
      <w:r w:rsidR="005D1871" w:rsidRPr="005017ED">
        <w:rPr>
          <w:b/>
          <w:sz w:val="28"/>
        </w:rPr>
        <w:t xml:space="preserve">Conclusions </w:t>
      </w:r>
    </w:p>
    <w:p w14:paraId="42E81A40" w14:textId="3AD52C9A" w:rsidR="00192676" w:rsidRDefault="00AA687F" w:rsidP="005017ED">
      <w:pPr>
        <w:spacing w:line="480" w:lineRule="auto"/>
        <w:jc w:val="both"/>
      </w:pPr>
      <w:r>
        <w:t xml:space="preserve">The </w:t>
      </w:r>
      <w:r w:rsidR="00F11D91">
        <w:t>results presented</w:t>
      </w:r>
      <w:r w:rsidRPr="00823FA3">
        <w:t xml:space="preserve"> </w:t>
      </w:r>
      <w:r w:rsidR="00F11D91">
        <w:t>demonstrate</w:t>
      </w:r>
      <w:r>
        <w:t xml:space="preserve"> that HTL could be used to process algae used in the remediation of acid mine drainage. </w:t>
      </w:r>
      <w:r w:rsidR="00F11D91">
        <w:t>On liquefaction of Spirulina b</w:t>
      </w:r>
      <w:r w:rsidRPr="00823FA3">
        <w:t>io-</w:t>
      </w:r>
      <w:r w:rsidR="00351241">
        <w:t>oil</w:t>
      </w:r>
      <w:r w:rsidRPr="00823FA3">
        <w:t xml:space="preserve"> o</w:t>
      </w:r>
      <w:r>
        <w:t>il yields were increased slightly on addition of the metals, and this did improve the carbon recovery in the oil phase, though the HHV was reduced</w:t>
      </w:r>
      <w:r w:rsidRPr="00823FA3">
        <w:t xml:space="preserve">. A corresponding decrease in the total organic content of the aqueous phase was identified. </w:t>
      </w:r>
      <w:r w:rsidR="00F11D91">
        <w:t xml:space="preserve">The oil produced from both </w:t>
      </w:r>
      <w:r w:rsidR="00D626D3">
        <w:t xml:space="preserve">low metal </w:t>
      </w:r>
      <w:r w:rsidR="00F11D91">
        <w:t xml:space="preserve">and </w:t>
      </w:r>
      <w:r w:rsidR="00D626D3">
        <w:t>high metal systems</w:t>
      </w:r>
      <w:r w:rsidR="00F11D91">
        <w:t>, were remarkably similar irrespective of the lack of biomass in the AMD</w:t>
      </w:r>
      <w:r w:rsidR="009F42EB">
        <w:t>-</w:t>
      </w:r>
      <w:r w:rsidR="00F11D91">
        <w:t xml:space="preserve">2 sample. </w:t>
      </w:r>
    </w:p>
    <w:p w14:paraId="5D43EFE6" w14:textId="17C4E08C" w:rsidR="00192676" w:rsidRDefault="00AA687F" w:rsidP="005017ED">
      <w:pPr>
        <w:spacing w:line="480" w:lineRule="auto"/>
        <w:jc w:val="both"/>
      </w:pPr>
      <w:r w:rsidRPr="00823FA3">
        <w:t xml:space="preserve">One of the key </w:t>
      </w:r>
      <w:r w:rsidR="00F11D91">
        <w:t>parts of the</w:t>
      </w:r>
      <w:r w:rsidRPr="00823FA3">
        <w:t xml:space="preserve"> proposed biorefinery is the ability to salvage metals captured from AMD from the </w:t>
      </w:r>
      <w:r w:rsidR="005651AD">
        <w:t>solid residue</w:t>
      </w:r>
      <w:r w:rsidRPr="00823FA3">
        <w:t xml:space="preserve"> phase for purification </w:t>
      </w:r>
      <w:r w:rsidR="000A111A">
        <w:t>or disposal</w:t>
      </w:r>
      <w:r w:rsidRPr="00823FA3">
        <w:t>. In th</w:t>
      </w:r>
      <w:r w:rsidR="000A111A">
        <w:t>is work</w:t>
      </w:r>
      <w:r w:rsidRPr="00823FA3">
        <w:t xml:space="preserve">, metals were found to partition almost exclusively into the solid </w:t>
      </w:r>
      <w:r w:rsidR="005651AD">
        <w:t>residue</w:t>
      </w:r>
      <w:r w:rsidRPr="00823FA3">
        <w:t xml:space="preserve"> phase, </w:t>
      </w:r>
      <w:r w:rsidR="004845FA">
        <w:t xml:space="preserve">clearly an </w:t>
      </w:r>
      <w:r w:rsidRPr="00823FA3">
        <w:t xml:space="preserve">advantage for potential metal recovery. This occurred with the notable exception of magnesium, which was recovered at roughly 30–50 % in the aqueous phase when also in the presence of Fe and Zn. </w:t>
      </w:r>
      <w:r w:rsidR="004845FA">
        <w:t>However, e</w:t>
      </w:r>
      <w:r w:rsidRPr="00823FA3">
        <w:t xml:space="preserve">levated levels of magnesium in the aqueous phase </w:t>
      </w:r>
      <w:r w:rsidR="004845FA">
        <w:t>should also</w:t>
      </w:r>
      <w:r w:rsidRPr="00823FA3">
        <w:t xml:space="preserve"> be beneficial for process water recycling, although continual recycling could result in a gradual accumulation of magnesium beyond useful concentrations. </w:t>
      </w:r>
      <w:r w:rsidR="00F11D91">
        <w:t xml:space="preserve">In the AMD algal samples, high metal partitioning in the </w:t>
      </w:r>
      <w:r w:rsidR="005651AD">
        <w:t>solid residue</w:t>
      </w:r>
      <w:r w:rsidR="00F11D91">
        <w:t xml:space="preserve"> phase was also observed, allowing for either effective disposal or recovery. </w:t>
      </w:r>
    </w:p>
    <w:p w14:paraId="125744EA" w14:textId="76E71347" w:rsidR="00F11D91" w:rsidRDefault="00AA687F" w:rsidP="005017ED">
      <w:pPr>
        <w:spacing w:line="480" w:lineRule="auto"/>
        <w:jc w:val="both"/>
      </w:pPr>
      <w:r w:rsidRPr="00823FA3">
        <w:t xml:space="preserve">Another important factor influencing the success of the biorefinery is nutrient </w:t>
      </w:r>
      <w:r w:rsidR="00F11D91">
        <w:t>re</w:t>
      </w:r>
      <w:r w:rsidRPr="00823FA3">
        <w:t xml:space="preserve">cycling from the process water </w:t>
      </w:r>
      <w:r w:rsidR="00F11D91">
        <w:t>for</w:t>
      </w:r>
      <w:r w:rsidRPr="00823FA3">
        <w:t xml:space="preserve"> algal cultivation. Unfavourably, high metal loadings drove partitioning of phosphates from the aqueous phase into the solid phase, presenting a potential setback to the recycling of process water as a growth supplement for further algal cultivation. </w:t>
      </w:r>
      <w:r>
        <w:t xml:space="preserve">It seems likely that the phosphate would need to be recovered from the solid </w:t>
      </w:r>
      <w:r w:rsidR="005651AD">
        <w:t>residue</w:t>
      </w:r>
      <w:r>
        <w:t xml:space="preserve"> phase</w:t>
      </w:r>
      <w:r w:rsidR="00F11D91">
        <w:t xml:space="preserve"> through further chemical processing. </w:t>
      </w:r>
      <w:r w:rsidR="004845FA">
        <w:t xml:space="preserve">Nevertheless, </w:t>
      </w:r>
      <w:r w:rsidR="00374E29">
        <w:t xml:space="preserve">the phosphate that did partition into the aqueous phase could be metabolised by the algae effectively. </w:t>
      </w:r>
    </w:p>
    <w:p w14:paraId="38FB903D" w14:textId="671E403E" w:rsidR="00AA687F" w:rsidRPr="00F11D91" w:rsidRDefault="00F11D91" w:rsidP="005017ED">
      <w:pPr>
        <w:spacing w:line="480" w:lineRule="auto"/>
        <w:jc w:val="both"/>
      </w:pPr>
      <w:r>
        <w:t>P</w:t>
      </w:r>
      <w:r w:rsidR="00AA687F" w:rsidRPr="00823FA3">
        <w:t>rocessing at lower temperatures yielded a gas phase composed of higher purity CO</w:t>
      </w:r>
      <w:r w:rsidR="00AA687F" w:rsidRPr="00823FA3">
        <w:rPr>
          <w:vertAlign w:val="subscript"/>
        </w:rPr>
        <w:t>2</w:t>
      </w:r>
      <w:r w:rsidR="00AA687F" w:rsidRPr="00823FA3">
        <w:t xml:space="preserve"> with lower VOC levels, which is favourable both for partial gas phase recycling into algal cultivation and lowers </w:t>
      </w:r>
      <w:r w:rsidR="00374E29">
        <w:t xml:space="preserve">the </w:t>
      </w:r>
      <w:r w:rsidR="00AA687F" w:rsidRPr="00823FA3">
        <w:t xml:space="preserve">gas phase toxicity for environmental release. </w:t>
      </w:r>
      <w:r>
        <w:t>On liquefaction of the algal communities used to remediate AMD, the CO</w:t>
      </w:r>
      <w:r w:rsidRPr="00F11D91">
        <w:rPr>
          <w:vertAlign w:val="subscript"/>
        </w:rPr>
        <w:t>2</w:t>
      </w:r>
      <w:r>
        <w:rPr>
          <w:vertAlign w:val="subscript"/>
        </w:rPr>
        <w:t xml:space="preserve"> </w:t>
      </w:r>
      <w:r>
        <w:t>produced was around 99%</w:t>
      </w:r>
      <w:r w:rsidR="00374E29">
        <w:t xml:space="preserve"> pure</w:t>
      </w:r>
      <w:r>
        <w:t xml:space="preserve">, </w:t>
      </w:r>
      <w:r w:rsidR="00956617">
        <w:t xml:space="preserve">and </w:t>
      </w:r>
      <w:r>
        <w:t>while higher value volatile components, such as propylene,</w:t>
      </w:r>
      <w:r w:rsidR="00956617">
        <w:t xml:space="preserve"> were observed,</w:t>
      </w:r>
      <w:r>
        <w:t xml:space="preserve"> they </w:t>
      </w:r>
      <w:r w:rsidR="00956617">
        <w:t>were</w:t>
      </w:r>
      <w:r>
        <w:t xml:space="preserve"> </w:t>
      </w:r>
      <w:r w:rsidR="00956617">
        <w:t xml:space="preserve">present at </w:t>
      </w:r>
      <w:r>
        <w:t>too low levels to justify extraction and purification.</w:t>
      </w:r>
    </w:p>
    <w:p w14:paraId="25D935B9" w14:textId="7F4996DE" w:rsidR="00192676" w:rsidRDefault="00AA687F" w:rsidP="005017ED">
      <w:pPr>
        <w:spacing w:line="480" w:lineRule="auto"/>
        <w:jc w:val="both"/>
      </w:pPr>
      <w:r w:rsidRPr="00823FA3">
        <w:t xml:space="preserve">In general, processing temperatures were found to have a more substantial influence than metal loadings over product yields and properties. The use of lower temperatures also resulted in higher </w:t>
      </w:r>
      <w:r w:rsidR="00075A7D">
        <w:t>nitrogen</w:t>
      </w:r>
      <w:r w:rsidRPr="00823FA3">
        <w:rPr>
          <w:vertAlign w:val="superscript"/>
        </w:rPr>
        <w:t xml:space="preserve"> </w:t>
      </w:r>
      <w:r w:rsidRPr="00823FA3">
        <w:t xml:space="preserve">levels in the aqueous phase, </w:t>
      </w:r>
      <w:r w:rsidR="00075A7D">
        <w:t>though lower NH</w:t>
      </w:r>
      <w:r w:rsidR="00075A7D" w:rsidRPr="00075A7D">
        <w:rPr>
          <w:vertAlign w:val="subscript"/>
        </w:rPr>
        <w:t>4</w:t>
      </w:r>
      <w:r w:rsidR="00075A7D" w:rsidRPr="00075A7D">
        <w:rPr>
          <w:vertAlign w:val="superscript"/>
        </w:rPr>
        <w:t>+</w:t>
      </w:r>
      <w:r w:rsidR="00075A7D">
        <w:t xml:space="preserve"> content</w:t>
      </w:r>
      <w:r w:rsidRPr="00823FA3">
        <w:t>. However, at higher processing temperatures of around 350 °C bio-</w:t>
      </w:r>
      <w:r w:rsidR="00351241">
        <w:t>oil</w:t>
      </w:r>
      <w:r w:rsidRPr="00823FA3">
        <w:t xml:space="preserve"> energy content was improved, and nitrogen levels were somewhat lowered. </w:t>
      </w:r>
    </w:p>
    <w:p w14:paraId="18EED193" w14:textId="0E9383C3" w:rsidR="00AA687F" w:rsidRDefault="00192676" w:rsidP="005017ED">
      <w:pPr>
        <w:spacing w:line="480" w:lineRule="auto"/>
        <w:jc w:val="both"/>
      </w:pPr>
      <w:r>
        <w:t xml:space="preserve">HTL processing was found to be a suitable method of processing algae used in the remediation of acid mine drainage. The oil is </w:t>
      </w:r>
      <w:r w:rsidR="00956617">
        <w:t xml:space="preserve">of </w:t>
      </w:r>
      <w:r>
        <w:t>a high enough quality for further hydrogenation into fuels, whe</w:t>
      </w:r>
      <w:r w:rsidR="00151B7D">
        <w:t xml:space="preserve">reas </w:t>
      </w:r>
      <w:r>
        <w:t xml:space="preserve">the </w:t>
      </w:r>
      <w:r w:rsidR="000A111A">
        <w:t xml:space="preserve">majority of the </w:t>
      </w:r>
      <w:r>
        <w:t xml:space="preserve">metals are </w:t>
      </w:r>
      <w:r w:rsidR="00151B7D">
        <w:t xml:space="preserve">almost exclusively </w:t>
      </w:r>
      <w:r>
        <w:t xml:space="preserve">recovered in the </w:t>
      </w:r>
      <w:r w:rsidR="005651AD">
        <w:t>solid residue</w:t>
      </w:r>
      <w:r>
        <w:t xml:space="preserve"> phase. There is </w:t>
      </w:r>
      <w:r w:rsidR="000A111A">
        <w:t xml:space="preserve">also </w:t>
      </w:r>
      <w:r>
        <w:t>scope for the recovery of N</w:t>
      </w:r>
      <w:r w:rsidR="000A111A">
        <w:t>H</w:t>
      </w:r>
      <w:r w:rsidR="000A111A" w:rsidRPr="000A111A">
        <w:rPr>
          <w:vertAlign w:val="subscript"/>
        </w:rPr>
        <w:t>4</w:t>
      </w:r>
      <w:r w:rsidR="000A111A" w:rsidRPr="000A111A">
        <w:rPr>
          <w:vertAlign w:val="superscript"/>
        </w:rPr>
        <w:t>+</w:t>
      </w:r>
      <w:r>
        <w:t xml:space="preserve"> and limited P from the aqueous phase to supplement algal growth and aid in the further remediation of metal rich effluent.  </w:t>
      </w:r>
    </w:p>
    <w:p w14:paraId="0DB7000E" w14:textId="4089D135" w:rsidR="007A4807" w:rsidRDefault="007A4807" w:rsidP="005017ED">
      <w:pPr>
        <w:spacing w:line="480" w:lineRule="auto"/>
        <w:jc w:val="both"/>
        <w:rPr>
          <w:b/>
          <w:sz w:val="28"/>
        </w:rPr>
      </w:pPr>
      <w:r w:rsidRPr="007A4807">
        <w:rPr>
          <w:b/>
          <w:sz w:val="28"/>
        </w:rPr>
        <w:t>Acknowledgements</w:t>
      </w:r>
    </w:p>
    <w:p w14:paraId="7B7E7864" w14:textId="0036868C" w:rsidR="007A4807" w:rsidRPr="00D614C4" w:rsidRDefault="007A4807" w:rsidP="007A4807">
      <w:pPr>
        <w:pStyle w:val="SNSynopsisTOC"/>
        <w:spacing w:after="240"/>
        <w:jc w:val="left"/>
        <w:rPr>
          <w:rFonts w:asciiTheme="minorHAnsi" w:hAnsiTheme="minorHAnsi"/>
          <w:bCs/>
          <w:sz w:val="22"/>
          <w:lang w:val="en-GB"/>
        </w:rPr>
      </w:pPr>
      <w:r w:rsidRPr="00D614C4">
        <w:rPr>
          <w:rFonts w:asciiTheme="minorHAnsi" w:hAnsiTheme="minorHAnsi"/>
          <w:sz w:val="22"/>
        </w:rPr>
        <w:t xml:space="preserve">The authors would like to thank both </w:t>
      </w:r>
      <w:r w:rsidR="00630B80">
        <w:rPr>
          <w:rFonts w:asciiTheme="minorHAnsi" w:hAnsiTheme="minorHAnsi"/>
          <w:sz w:val="22"/>
        </w:rPr>
        <w:t xml:space="preserve">the </w:t>
      </w:r>
      <w:r w:rsidRPr="00D614C4">
        <w:rPr>
          <w:rFonts w:asciiTheme="minorHAnsi" w:hAnsiTheme="minorHAnsi"/>
          <w:sz w:val="22"/>
        </w:rPr>
        <w:t xml:space="preserve">GW4+ alliance </w:t>
      </w:r>
      <w:r w:rsidR="00671C5C">
        <w:rPr>
          <w:rFonts w:asciiTheme="minorHAnsi" w:hAnsiTheme="minorHAnsi"/>
          <w:sz w:val="22"/>
        </w:rPr>
        <w:t xml:space="preserve">(award number </w:t>
      </w:r>
      <w:r w:rsidR="00671C5C" w:rsidRPr="00671C5C">
        <w:rPr>
          <w:rFonts w:asciiTheme="minorHAnsi" w:hAnsiTheme="minorHAnsi"/>
          <w:sz w:val="22"/>
        </w:rPr>
        <w:t>GW4-AF-008</w:t>
      </w:r>
      <w:r w:rsidR="00671C5C">
        <w:rPr>
          <w:rFonts w:asciiTheme="minorHAnsi" w:hAnsiTheme="minorHAnsi"/>
          <w:sz w:val="22"/>
        </w:rPr>
        <w:t xml:space="preserve">) </w:t>
      </w:r>
      <w:r w:rsidRPr="00D614C4">
        <w:rPr>
          <w:rFonts w:asciiTheme="minorHAnsi" w:hAnsiTheme="minorHAnsi"/>
          <w:sz w:val="22"/>
        </w:rPr>
        <w:t xml:space="preserve">and the EPSRC for funding this work through </w:t>
      </w:r>
      <w:r w:rsidRPr="00D614C4">
        <w:rPr>
          <w:rFonts w:asciiTheme="minorHAnsi" w:hAnsiTheme="minorHAnsi"/>
          <w:bCs/>
          <w:sz w:val="22"/>
          <w:lang w:val="en-GB"/>
        </w:rPr>
        <w:t>the Doctoral Training Centre at the Centre for Sustainable Chemical Technologies (</w:t>
      </w:r>
      <w:r w:rsidRPr="00D614C4">
        <w:rPr>
          <w:rFonts w:asciiTheme="minorHAnsi" w:hAnsiTheme="minorHAnsi"/>
          <w:sz w:val="22"/>
        </w:rPr>
        <w:t>EP/G03768X/1</w:t>
      </w:r>
      <w:r w:rsidR="009F42EB">
        <w:rPr>
          <w:rFonts w:asciiTheme="minorHAnsi" w:hAnsiTheme="minorHAnsi"/>
          <w:bCs/>
          <w:sz w:val="22"/>
          <w:lang w:val="en-GB"/>
        </w:rPr>
        <w:t>). To Veolia and the Coal Authority for providing access to AMD</w:t>
      </w:r>
      <w:r w:rsidR="00A46F3D">
        <w:rPr>
          <w:rFonts w:asciiTheme="minorHAnsi" w:hAnsiTheme="minorHAnsi"/>
          <w:bCs/>
          <w:sz w:val="22"/>
          <w:lang w:val="en-GB"/>
        </w:rPr>
        <w:t xml:space="preserve"> </w:t>
      </w:r>
      <w:r w:rsidR="00630B80">
        <w:rPr>
          <w:rFonts w:asciiTheme="minorHAnsi" w:hAnsiTheme="minorHAnsi"/>
          <w:bCs/>
          <w:sz w:val="22"/>
          <w:lang w:val="en-GB"/>
        </w:rPr>
        <w:t>and</w:t>
      </w:r>
      <w:r w:rsidRPr="00D614C4">
        <w:rPr>
          <w:rFonts w:asciiTheme="minorHAnsi" w:hAnsiTheme="minorHAnsi"/>
          <w:bCs/>
          <w:sz w:val="22"/>
          <w:lang w:val="en-GB"/>
        </w:rPr>
        <w:t xml:space="preserve"> </w:t>
      </w:r>
      <w:r w:rsidR="009F42EB">
        <w:rPr>
          <w:rFonts w:asciiTheme="minorHAnsi" w:hAnsiTheme="minorHAnsi"/>
          <w:bCs/>
          <w:sz w:val="22"/>
          <w:lang w:val="en-GB"/>
        </w:rPr>
        <w:t xml:space="preserve">to </w:t>
      </w:r>
      <w:r w:rsidRPr="00D614C4">
        <w:rPr>
          <w:rFonts w:asciiTheme="minorHAnsi" w:hAnsiTheme="minorHAnsi"/>
          <w:bCs/>
          <w:sz w:val="22"/>
          <w:lang w:val="en-GB"/>
        </w:rPr>
        <w:t xml:space="preserve">Roger and Sue Whorrod for their kind endowment to the University resulting in the Whorrod Fellowship in Sustainable Chemical Technologies held by the corresponding author. The data generated throughout the project </w:t>
      </w:r>
      <w:r w:rsidR="00671C5C">
        <w:rPr>
          <w:rFonts w:asciiTheme="minorHAnsi" w:hAnsiTheme="minorHAnsi"/>
          <w:bCs/>
          <w:sz w:val="22"/>
          <w:lang w:val="en-GB"/>
        </w:rPr>
        <w:t>are</w:t>
      </w:r>
      <w:r w:rsidR="00671C5C" w:rsidRPr="00D614C4">
        <w:rPr>
          <w:rFonts w:asciiTheme="minorHAnsi" w:hAnsiTheme="minorHAnsi"/>
          <w:bCs/>
          <w:sz w:val="22"/>
          <w:lang w:val="en-GB"/>
        </w:rPr>
        <w:t xml:space="preserve"> </w:t>
      </w:r>
      <w:r w:rsidRPr="00D614C4">
        <w:rPr>
          <w:rFonts w:asciiTheme="minorHAnsi" w:hAnsiTheme="minorHAnsi"/>
          <w:bCs/>
          <w:sz w:val="22"/>
          <w:lang w:val="en-GB"/>
        </w:rPr>
        <w:t xml:space="preserve">freely available and can be accessed </w:t>
      </w:r>
      <w:r w:rsidR="00630B80">
        <w:rPr>
          <w:rFonts w:asciiTheme="minorHAnsi" w:hAnsiTheme="minorHAnsi"/>
          <w:bCs/>
          <w:sz w:val="22"/>
          <w:lang w:val="en-GB"/>
        </w:rPr>
        <w:t xml:space="preserve">online </w:t>
      </w:r>
      <w:r w:rsidRPr="00D614C4">
        <w:rPr>
          <w:rFonts w:asciiTheme="minorHAnsi" w:hAnsiTheme="minorHAnsi"/>
          <w:bCs/>
          <w:sz w:val="22"/>
          <w:lang w:val="en-GB"/>
        </w:rPr>
        <w:t>at DOIx</w:t>
      </w:r>
    </w:p>
    <w:p w14:paraId="1CEAC64D" w14:textId="733033CA" w:rsidR="00537F80" w:rsidRPr="005017ED" w:rsidRDefault="00F11D91" w:rsidP="00B50382">
      <w:pPr>
        <w:spacing w:line="480" w:lineRule="auto"/>
        <w:rPr>
          <w:b/>
          <w:sz w:val="28"/>
          <w:szCs w:val="28"/>
        </w:rPr>
      </w:pPr>
      <w:r w:rsidRPr="005017ED">
        <w:rPr>
          <w:b/>
          <w:sz w:val="28"/>
          <w:szCs w:val="28"/>
        </w:rPr>
        <w:t>References</w:t>
      </w:r>
    </w:p>
    <w:p w14:paraId="52D8F6E4" w14:textId="77777777" w:rsidR="00E7405E" w:rsidRPr="00E7405E" w:rsidRDefault="00C215C5" w:rsidP="00E7405E">
      <w:pPr>
        <w:spacing w:after="0" w:line="240" w:lineRule="auto"/>
        <w:rPr>
          <w:rFonts w:ascii="Calibri" w:hAnsi="Calibri"/>
          <w:noProof/>
        </w:rPr>
      </w:pPr>
      <w:r>
        <w:rPr>
          <w:rFonts w:ascii="Calibri" w:hAnsi="Calibri"/>
          <w:noProof/>
          <w:lang w:val="en-US"/>
        </w:rPr>
        <w:fldChar w:fldCharType="begin"/>
      </w:r>
      <w:r>
        <w:instrText xml:space="preserve"> ADDIN EN.REFLIST </w:instrText>
      </w:r>
      <w:r>
        <w:rPr>
          <w:rFonts w:ascii="Calibri" w:hAnsi="Calibri"/>
          <w:noProof/>
          <w:lang w:val="en-US"/>
        </w:rPr>
        <w:fldChar w:fldCharType="separate"/>
      </w:r>
      <w:r w:rsidR="00E7405E" w:rsidRPr="00E7405E">
        <w:rPr>
          <w:rFonts w:ascii="Calibri" w:hAnsi="Calibri"/>
          <w:noProof/>
        </w:rPr>
        <w:t>[1] N. Renuka, A. Sood, R. Prasanna, A.S. Ahluwalia, Phycoremediation of wastewaters: a synergistic approach using microalgae for bioremediation and biomass generation, Int. J. Environ. Sci. Technol., 12 (2015) 1443-1460.</w:t>
      </w:r>
    </w:p>
    <w:p w14:paraId="600080A3" w14:textId="77777777" w:rsidR="00E7405E" w:rsidRPr="00E7405E" w:rsidRDefault="00E7405E" w:rsidP="00E7405E">
      <w:pPr>
        <w:spacing w:after="0" w:line="240" w:lineRule="auto"/>
        <w:rPr>
          <w:rFonts w:ascii="Calibri" w:hAnsi="Calibri"/>
          <w:noProof/>
        </w:rPr>
      </w:pPr>
      <w:r w:rsidRPr="00E7405E">
        <w:rPr>
          <w:rFonts w:ascii="Calibri" w:hAnsi="Calibri"/>
          <w:noProof/>
        </w:rPr>
        <w:t>[2] J.O. Nriagu, J.M. Pacyna, Quantitative assessment of worldwide contamination of air, water and soils by trace metals, Nature, 333 (1988) 134-139.</w:t>
      </w:r>
    </w:p>
    <w:p w14:paraId="3F16951D" w14:textId="77777777" w:rsidR="00E7405E" w:rsidRPr="00E7405E" w:rsidRDefault="00E7405E" w:rsidP="00E7405E">
      <w:pPr>
        <w:spacing w:after="0" w:line="240" w:lineRule="auto"/>
        <w:rPr>
          <w:rFonts w:ascii="Calibri" w:hAnsi="Calibri"/>
          <w:noProof/>
        </w:rPr>
      </w:pPr>
      <w:r w:rsidRPr="00E7405E">
        <w:rPr>
          <w:rFonts w:ascii="Calibri" w:hAnsi="Calibri"/>
          <w:noProof/>
        </w:rPr>
        <w:t>[3] D.B. Johnson, K.B. Hallberg, Acid mine drainage remediation options: a review, Science of the total environment, 338 (2005) 3-14.</w:t>
      </w:r>
    </w:p>
    <w:p w14:paraId="61B4A7F9" w14:textId="77777777" w:rsidR="00E7405E" w:rsidRPr="00E7405E" w:rsidRDefault="00E7405E" w:rsidP="00E7405E">
      <w:pPr>
        <w:spacing w:after="0" w:line="240" w:lineRule="auto"/>
        <w:rPr>
          <w:rFonts w:ascii="Calibri" w:hAnsi="Calibri"/>
          <w:noProof/>
        </w:rPr>
      </w:pPr>
      <w:r w:rsidRPr="00E7405E">
        <w:rPr>
          <w:rFonts w:ascii="Calibri" w:hAnsi="Calibri"/>
          <w:noProof/>
        </w:rPr>
        <w:t>[4] A. Akcil, S. Koldas, Acid Mine Drainage (AMD): causes, treatment and case studies, Journal of Cleaner Production, 14 (2006) 1139-1145.</w:t>
      </w:r>
    </w:p>
    <w:p w14:paraId="1D8B342C" w14:textId="77777777" w:rsidR="00E7405E" w:rsidRPr="00E7405E" w:rsidRDefault="00E7405E" w:rsidP="00E7405E">
      <w:pPr>
        <w:spacing w:after="0" w:line="240" w:lineRule="auto"/>
        <w:rPr>
          <w:rFonts w:ascii="Calibri" w:hAnsi="Calibri"/>
          <w:noProof/>
        </w:rPr>
      </w:pPr>
      <w:r w:rsidRPr="00E7405E">
        <w:rPr>
          <w:rFonts w:ascii="Calibri" w:hAnsi="Calibri"/>
          <w:noProof/>
        </w:rPr>
        <w:t>[5] P.L. Young, The longevity of minewater pollution: a basis for decision-making, Science of the total environment, 194–195 (1997) 457-466.</w:t>
      </w:r>
    </w:p>
    <w:p w14:paraId="149BD4E4" w14:textId="77777777" w:rsidR="00E7405E" w:rsidRPr="00E7405E" w:rsidRDefault="00E7405E" w:rsidP="00E7405E">
      <w:pPr>
        <w:spacing w:after="0" w:line="240" w:lineRule="auto"/>
        <w:rPr>
          <w:rFonts w:ascii="Calibri" w:hAnsi="Calibri"/>
          <w:noProof/>
        </w:rPr>
      </w:pPr>
      <w:r w:rsidRPr="00E7405E">
        <w:rPr>
          <w:rFonts w:ascii="Calibri" w:hAnsi="Calibri"/>
          <w:noProof/>
        </w:rPr>
        <w:t>[6] M.A. Hashim, S. Mukhopadhyay, J.N. Sahu, B. Sengupta, Remediation technologies for heavy metal contaminated groundwater, Journal of Environmental Management, 92 (2011) 2355-2388.</w:t>
      </w:r>
    </w:p>
    <w:p w14:paraId="494F19B5" w14:textId="77777777" w:rsidR="00E7405E" w:rsidRPr="00E7405E" w:rsidRDefault="00E7405E" w:rsidP="00E7405E">
      <w:pPr>
        <w:spacing w:after="0" w:line="240" w:lineRule="auto"/>
        <w:rPr>
          <w:rFonts w:ascii="Calibri" w:hAnsi="Calibri"/>
          <w:noProof/>
        </w:rPr>
      </w:pPr>
      <w:r w:rsidRPr="00E7405E">
        <w:rPr>
          <w:rFonts w:ascii="Calibri" w:hAnsi="Calibri"/>
          <w:noProof/>
        </w:rPr>
        <w:t>[7] A. Richmond, Q. Hu, Handbook of microalgal culture: applied phycology and biotechnology, John Wiley &amp; Sons, 2013.</w:t>
      </w:r>
    </w:p>
    <w:p w14:paraId="01FB1CBC" w14:textId="77777777" w:rsidR="00E7405E" w:rsidRPr="00E7405E" w:rsidRDefault="00E7405E" w:rsidP="00E7405E">
      <w:pPr>
        <w:spacing w:after="0" w:line="240" w:lineRule="auto"/>
        <w:rPr>
          <w:rFonts w:ascii="Calibri" w:hAnsi="Calibri"/>
          <w:noProof/>
        </w:rPr>
      </w:pPr>
      <w:r w:rsidRPr="00E7405E">
        <w:rPr>
          <w:rFonts w:ascii="Calibri" w:hAnsi="Calibri"/>
          <w:noProof/>
        </w:rPr>
        <w:t>[8] L.E. de-Bashan, Y. Bashan, Immobilized microalgae for removing pollutants: review of practical aspects, Bioresource Technology, 101 (2010) 1611-1627.</w:t>
      </w:r>
    </w:p>
    <w:p w14:paraId="3C05DD34" w14:textId="77777777" w:rsidR="00E7405E" w:rsidRPr="00E7405E" w:rsidRDefault="00E7405E" w:rsidP="00E7405E">
      <w:pPr>
        <w:spacing w:after="0" w:line="240" w:lineRule="auto"/>
        <w:rPr>
          <w:rFonts w:ascii="Calibri" w:hAnsi="Calibri"/>
          <w:noProof/>
        </w:rPr>
      </w:pPr>
      <w:r w:rsidRPr="00E7405E">
        <w:rPr>
          <w:rFonts w:ascii="Calibri" w:hAnsi="Calibri"/>
          <w:noProof/>
        </w:rPr>
        <w:t>[9] S.S. Ahluwalia, D. Goyal, Microbial and plant derived biomass for removal of heavy metals from wastewater, Bioresource technology, 98 (2007) 2243-2257.</w:t>
      </w:r>
    </w:p>
    <w:p w14:paraId="74717241" w14:textId="77777777" w:rsidR="00E7405E" w:rsidRPr="00E7405E" w:rsidRDefault="00E7405E" w:rsidP="00E7405E">
      <w:pPr>
        <w:spacing w:after="0" w:line="240" w:lineRule="auto"/>
        <w:rPr>
          <w:rFonts w:ascii="Calibri" w:hAnsi="Calibri"/>
          <w:noProof/>
        </w:rPr>
      </w:pPr>
      <w:r w:rsidRPr="00E7405E">
        <w:rPr>
          <w:rFonts w:ascii="Calibri" w:hAnsi="Calibri"/>
          <w:noProof/>
        </w:rPr>
        <w:t>[10] J.-g. Yang, Heavy metal removal and crude bio-oil upgrading from Sedum plumbizincicola harvest using hydrothermal upgrading process, Bioresource Technology, 101 (2010) 7653-7657.</w:t>
      </w:r>
    </w:p>
    <w:p w14:paraId="0F5D273B" w14:textId="77777777" w:rsidR="00E7405E" w:rsidRPr="00E7405E" w:rsidRDefault="00E7405E" w:rsidP="00E7405E">
      <w:pPr>
        <w:spacing w:after="0" w:line="240" w:lineRule="auto"/>
        <w:rPr>
          <w:rFonts w:ascii="Calibri" w:hAnsi="Calibri"/>
          <w:noProof/>
        </w:rPr>
      </w:pPr>
      <w:r w:rsidRPr="00E7405E">
        <w:rPr>
          <w:rFonts w:ascii="Calibri" w:hAnsi="Calibri"/>
          <w:noProof/>
        </w:rPr>
        <w:t>[11] J.K. Pittman, A.P. Dean, O. Osundeko, The potential of sustainable algal biofuel production using wastewater resources, Bioresource Technology, 102 (2011) 17-25.</w:t>
      </w:r>
    </w:p>
    <w:p w14:paraId="3172DB5C" w14:textId="77777777" w:rsidR="00E7405E" w:rsidRPr="00E7405E" w:rsidRDefault="00E7405E" w:rsidP="00E7405E">
      <w:pPr>
        <w:spacing w:after="0" w:line="240" w:lineRule="auto"/>
        <w:rPr>
          <w:rFonts w:ascii="Calibri" w:hAnsi="Calibri"/>
          <w:noProof/>
        </w:rPr>
      </w:pPr>
      <w:r w:rsidRPr="00E7405E">
        <w:rPr>
          <w:rFonts w:ascii="Calibri" w:hAnsi="Calibri"/>
          <w:noProof/>
        </w:rPr>
        <w:t>[12] L. Xu, D.W.W. Brilman, J.A. Withag, G. Brem, S. Kersten, Assessment of a dry and a wet route for the production of biofuels from microalgae: energy balance analysis, Bioresource Technology, 102 (2011) 5113-5122.</w:t>
      </w:r>
    </w:p>
    <w:p w14:paraId="44E7712B" w14:textId="77777777" w:rsidR="00E7405E" w:rsidRPr="00E7405E" w:rsidRDefault="00E7405E" w:rsidP="00E7405E">
      <w:pPr>
        <w:spacing w:after="0" w:line="240" w:lineRule="auto"/>
        <w:rPr>
          <w:rFonts w:ascii="Calibri" w:hAnsi="Calibri"/>
          <w:noProof/>
        </w:rPr>
      </w:pPr>
      <w:r w:rsidRPr="00E7405E">
        <w:rPr>
          <w:rFonts w:ascii="Calibri" w:hAnsi="Calibri"/>
          <w:noProof/>
        </w:rPr>
        <w:t>[13] P. Duan, X. Bai, Y. Xu, A. Zhang, F. Wang, L. Zhang, J. Miao, Catalytic upgrading of crude algal oil using platinum/gamma alumina in supercritical water, Fuel, 109 (2013) 225-233.</w:t>
      </w:r>
    </w:p>
    <w:p w14:paraId="3FAD3DCD" w14:textId="77777777" w:rsidR="00E7405E" w:rsidRPr="00E7405E" w:rsidRDefault="00E7405E" w:rsidP="00E7405E">
      <w:pPr>
        <w:spacing w:after="0" w:line="240" w:lineRule="auto"/>
        <w:rPr>
          <w:rFonts w:ascii="Calibri" w:hAnsi="Calibri"/>
          <w:noProof/>
        </w:rPr>
      </w:pPr>
      <w:r w:rsidRPr="00E7405E">
        <w:rPr>
          <w:rFonts w:ascii="Calibri" w:hAnsi="Calibri"/>
          <w:noProof/>
        </w:rPr>
        <w:t>[14] X. Liu, B. Saydah, P. Eranki, L.M. Colosi, B.G. Mitchell, J. Rhodes, A.F. Clarens, Pilot-scale data provide enhanced estimates of the life cycle energy and emissions profile of algae biofuels produced via hydrothermal liquefaction, Bioresource Technology, 148 (2013) 163-171.</w:t>
      </w:r>
    </w:p>
    <w:p w14:paraId="3FB4F11E" w14:textId="77777777" w:rsidR="00E7405E" w:rsidRPr="00E7405E" w:rsidRDefault="00E7405E" w:rsidP="00E7405E">
      <w:pPr>
        <w:spacing w:after="0" w:line="240" w:lineRule="auto"/>
        <w:rPr>
          <w:rFonts w:ascii="Calibri" w:hAnsi="Calibri"/>
          <w:noProof/>
        </w:rPr>
      </w:pPr>
      <w:r w:rsidRPr="00E7405E">
        <w:rPr>
          <w:rFonts w:ascii="Calibri" w:hAnsi="Calibri"/>
          <w:noProof/>
        </w:rPr>
        <w:t>[15] S.S. Toor, L. Rosendahl, A. Rudolf, Hydrothermal liquefaction of biomass: a review of subcritical water technologies, Energy, 36 (2011) 2328-2342.</w:t>
      </w:r>
    </w:p>
    <w:p w14:paraId="6C39C434" w14:textId="77777777" w:rsidR="00E7405E" w:rsidRPr="00E7405E" w:rsidRDefault="00E7405E" w:rsidP="00E7405E">
      <w:pPr>
        <w:spacing w:after="0" w:line="240" w:lineRule="auto"/>
        <w:rPr>
          <w:rFonts w:ascii="Calibri" w:hAnsi="Calibri"/>
          <w:noProof/>
        </w:rPr>
      </w:pPr>
      <w:r w:rsidRPr="00E7405E">
        <w:rPr>
          <w:rFonts w:ascii="Calibri" w:hAnsi="Calibri"/>
          <w:noProof/>
        </w:rPr>
        <w:t>[16] Y. Guo, T. Yeh, W. Song, D. Xu, S. Wang, A review of bio-oil production from hydrothermal liquefaction of algae, Renewable and Sustainable Energy Reviews, 48 (2015) 776-790.</w:t>
      </w:r>
    </w:p>
    <w:p w14:paraId="1195E962" w14:textId="77777777" w:rsidR="00E7405E" w:rsidRPr="00E7405E" w:rsidRDefault="00E7405E" w:rsidP="00E7405E">
      <w:pPr>
        <w:spacing w:after="0" w:line="240" w:lineRule="auto"/>
        <w:rPr>
          <w:rFonts w:ascii="Calibri" w:hAnsi="Calibri"/>
          <w:noProof/>
        </w:rPr>
      </w:pPr>
      <w:r w:rsidRPr="00E7405E">
        <w:rPr>
          <w:rFonts w:ascii="Calibri" w:hAnsi="Calibri"/>
          <w:noProof/>
        </w:rPr>
        <w:t>[17] P. Biller, A. Ross, Potential yields and properties of oil from the hydrothermal liquefaction of microalgae with different biochemical content, Bioresource technology, 102 (2011) 215-225.</w:t>
      </w:r>
    </w:p>
    <w:p w14:paraId="6DE5A9B1" w14:textId="77777777" w:rsidR="00E7405E" w:rsidRPr="00E7405E" w:rsidRDefault="00E7405E" w:rsidP="00E7405E">
      <w:pPr>
        <w:spacing w:after="0" w:line="240" w:lineRule="auto"/>
        <w:rPr>
          <w:rFonts w:ascii="Calibri" w:hAnsi="Calibri"/>
          <w:noProof/>
        </w:rPr>
      </w:pPr>
      <w:r w:rsidRPr="00E7405E">
        <w:rPr>
          <w:rFonts w:ascii="Calibri" w:hAnsi="Calibri"/>
          <w:noProof/>
        </w:rPr>
        <w:t>[18] H. Li, Z. Liu, Y. Zhang, B. Li, H. Lu, N. Duan, M. Liu, Z. Zhu, B. Si, Conversion efficiency and oil quality of low-lipid high-protein and high-lipid low-protein microalgae via hydrothermal liquefaction, Bioresource Technology, 154 (2014) 322-329.</w:t>
      </w:r>
    </w:p>
    <w:p w14:paraId="1453EA86" w14:textId="77777777" w:rsidR="00E7405E" w:rsidRPr="00E7405E" w:rsidRDefault="00E7405E" w:rsidP="00E7405E">
      <w:pPr>
        <w:spacing w:after="0" w:line="240" w:lineRule="auto"/>
        <w:rPr>
          <w:rFonts w:ascii="Calibri" w:hAnsi="Calibri"/>
          <w:noProof/>
        </w:rPr>
      </w:pPr>
      <w:r w:rsidRPr="00E7405E">
        <w:rPr>
          <w:rFonts w:ascii="Calibri" w:hAnsi="Calibri"/>
          <w:noProof/>
        </w:rPr>
        <w:t>[19] D.R. Vardon, B. Sharma, J. Scott, G. Yu, Z. Wang, L. Schideman, Y. Zhang, T.J. Strathmann, Chemical properties of biocrude oil from the hydrothermal liquefaction of Spirulina algae, swine manure, and digested anaerobic sludge, Bioresource Technology, 102 (2011) 8295-8303.</w:t>
      </w:r>
    </w:p>
    <w:p w14:paraId="034C03C3" w14:textId="77777777" w:rsidR="00E7405E" w:rsidRPr="00E7405E" w:rsidRDefault="00E7405E" w:rsidP="00E7405E">
      <w:pPr>
        <w:spacing w:after="0" w:line="240" w:lineRule="auto"/>
        <w:rPr>
          <w:rFonts w:ascii="Calibri" w:hAnsi="Calibri"/>
          <w:noProof/>
        </w:rPr>
      </w:pPr>
      <w:r w:rsidRPr="00E7405E">
        <w:rPr>
          <w:rFonts w:ascii="Calibri" w:hAnsi="Calibri"/>
          <w:noProof/>
        </w:rPr>
        <w:t>[20] G.W. Huber, S. Iborra, A. Corma, Synthesis of transportation fuels from biomass: chemistry, catalysts, and engineering, Chemical Reviews, 106 (2006) 4044-4098.</w:t>
      </w:r>
    </w:p>
    <w:p w14:paraId="3F7E69C4" w14:textId="77777777" w:rsidR="00E7405E" w:rsidRPr="00E7405E" w:rsidRDefault="00E7405E" w:rsidP="00E7405E">
      <w:pPr>
        <w:spacing w:after="0" w:line="240" w:lineRule="auto"/>
        <w:rPr>
          <w:rFonts w:ascii="Calibri" w:hAnsi="Calibri"/>
          <w:noProof/>
        </w:rPr>
      </w:pPr>
      <w:r w:rsidRPr="00E7405E">
        <w:rPr>
          <w:rFonts w:ascii="Calibri" w:hAnsi="Calibri"/>
          <w:noProof/>
        </w:rPr>
        <w:t>[21] D.L. Barreiro, W. Prins, F. Ronsse, W. Brilman, Hydrothermal liquefaction (HTL) of microalgae for biofuel production: state of the art review and future prospects, Biomass and Bioenergy, 53 (2013) 113-127.</w:t>
      </w:r>
    </w:p>
    <w:p w14:paraId="71A0C041" w14:textId="77777777" w:rsidR="00E7405E" w:rsidRPr="00E7405E" w:rsidRDefault="00E7405E" w:rsidP="00E7405E">
      <w:pPr>
        <w:spacing w:after="0" w:line="240" w:lineRule="auto"/>
        <w:rPr>
          <w:rFonts w:ascii="Calibri" w:hAnsi="Calibri"/>
          <w:noProof/>
        </w:rPr>
      </w:pPr>
      <w:r w:rsidRPr="00E7405E">
        <w:rPr>
          <w:rFonts w:ascii="Calibri" w:hAnsi="Calibri"/>
          <w:noProof/>
        </w:rPr>
        <w:t>[22] Thomas M . Yeh, Jacob G. Dickinson, Allison Franck, Suljo Linic, Levi T.Thompson, P.E. Savage, Hydrothermal catalytic production of fuels and chemicals from aquatic biomass, Journal of Chemical Technology and Biotechnology 88 (2012) 13-24.</w:t>
      </w:r>
    </w:p>
    <w:p w14:paraId="76EC72AC" w14:textId="77777777" w:rsidR="00E7405E" w:rsidRPr="00E7405E" w:rsidRDefault="00E7405E" w:rsidP="00E7405E">
      <w:pPr>
        <w:spacing w:after="0" w:line="240" w:lineRule="auto"/>
        <w:rPr>
          <w:rFonts w:ascii="Calibri" w:hAnsi="Calibri"/>
          <w:noProof/>
        </w:rPr>
      </w:pPr>
      <w:r w:rsidRPr="00E7405E">
        <w:rPr>
          <w:rFonts w:ascii="Calibri" w:hAnsi="Calibri"/>
          <w:noProof/>
        </w:rPr>
        <w:t>[23] A.B. Ross, P. Biller, M.L. Kubacki, H. Li, A. Lea-Langton, J.M. Jones, Hydrothermal processing of microalgae using alkali and organic acids, Fuel, 89 (2010) 2234-2243.</w:t>
      </w:r>
    </w:p>
    <w:p w14:paraId="263452BA" w14:textId="77777777" w:rsidR="00E7405E" w:rsidRPr="00E7405E" w:rsidRDefault="00E7405E" w:rsidP="00E7405E">
      <w:pPr>
        <w:spacing w:after="0" w:line="240" w:lineRule="auto"/>
        <w:rPr>
          <w:rFonts w:ascii="Calibri" w:hAnsi="Calibri"/>
          <w:noProof/>
        </w:rPr>
      </w:pPr>
      <w:r w:rsidRPr="00E7405E">
        <w:rPr>
          <w:rFonts w:ascii="Calibri" w:hAnsi="Calibri"/>
          <w:noProof/>
        </w:rPr>
        <w:t>[24] T. Minowa, S. Yokoyama, M. Kishimoto, T. Okakura, OIL PRODUCTION FROM ALGAL CELLS OF DUNALIELLA-TERTIOLECTA BY DIRECT THERMOCHEMICAL LIQUEFACTION, Fuel, 74 (1995) 1735-1738.</w:t>
      </w:r>
    </w:p>
    <w:p w14:paraId="165AEDE8" w14:textId="77777777" w:rsidR="00E7405E" w:rsidRPr="00E7405E" w:rsidRDefault="00E7405E" w:rsidP="00E7405E">
      <w:pPr>
        <w:spacing w:after="0" w:line="240" w:lineRule="auto"/>
        <w:rPr>
          <w:rFonts w:ascii="Calibri" w:hAnsi="Calibri"/>
          <w:noProof/>
        </w:rPr>
      </w:pPr>
      <w:r w:rsidRPr="00E7405E">
        <w:rPr>
          <w:rFonts w:ascii="Calibri" w:hAnsi="Calibri"/>
          <w:noProof/>
        </w:rPr>
        <w:t>[25] Y.F. Yang, C.P. Feng, Y. Inamori, T. Maekawa, Analysis of energy conversion characteristics in liquefaction of algae, Resources Conservation and Recycling, 43 (2004) 21-33.</w:t>
      </w:r>
    </w:p>
    <w:p w14:paraId="08A5D1B2" w14:textId="77777777" w:rsidR="00E7405E" w:rsidRPr="00E7405E" w:rsidRDefault="00E7405E" w:rsidP="00E7405E">
      <w:pPr>
        <w:spacing w:after="0" w:line="240" w:lineRule="auto"/>
        <w:rPr>
          <w:rFonts w:ascii="Calibri" w:hAnsi="Calibri"/>
          <w:noProof/>
        </w:rPr>
      </w:pPr>
      <w:r w:rsidRPr="00E7405E">
        <w:rPr>
          <w:rFonts w:ascii="Calibri" w:hAnsi="Calibri"/>
          <w:noProof/>
        </w:rPr>
        <w:t>[26] P. Duan, P.E. Savage, Catalytic hydrothermal hydrodenitrogenation of pyridine, Applied Catalysis B-Environmental, 108 (2011) 54-60.</w:t>
      </w:r>
    </w:p>
    <w:p w14:paraId="00AD8719" w14:textId="77777777" w:rsidR="00E7405E" w:rsidRPr="00E7405E" w:rsidRDefault="00E7405E" w:rsidP="00E7405E">
      <w:pPr>
        <w:spacing w:after="0" w:line="240" w:lineRule="auto"/>
        <w:rPr>
          <w:rFonts w:ascii="Calibri" w:hAnsi="Calibri"/>
          <w:noProof/>
        </w:rPr>
      </w:pPr>
      <w:r w:rsidRPr="00E7405E">
        <w:rPr>
          <w:rFonts w:ascii="Calibri" w:hAnsi="Calibri"/>
          <w:noProof/>
        </w:rPr>
        <w:t>[27] D. Aitken, B. Antizar-Ladislao, Achieving a green solution: limitations and focus points for sustainable algal fuels, Energies, 5 (2012) 1613-1647.</w:t>
      </w:r>
    </w:p>
    <w:p w14:paraId="48A7A024" w14:textId="77777777" w:rsidR="00E7405E" w:rsidRPr="00E7405E" w:rsidRDefault="00E7405E" w:rsidP="00E7405E">
      <w:pPr>
        <w:spacing w:after="0" w:line="240" w:lineRule="auto"/>
        <w:rPr>
          <w:rFonts w:ascii="Calibri" w:hAnsi="Calibri"/>
          <w:noProof/>
        </w:rPr>
      </w:pPr>
      <w:r w:rsidRPr="00E7405E">
        <w:rPr>
          <w:rFonts w:ascii="Calibri" w:hAnsi="Calibri"/>
          <w:noProof/>
        </w:rPr>
        <w:t>[28] P. Biller, A.B. Ross, S. Skill, A. Lea-Langton, B. Balasundaram, C. Hall, R. Riley, C. Llewellyn, Nutrient recycling of aqueous phase for microalgae cultivation from the hydrothermal liquefaction process, Algal Research, 1 (2012) 70-76.</w:t>
      </w:r>
    </w:p>
    <w:p w14:paraId="544AFD53" w14:textId="77777777" w:rsidR="00E7405E" w:rsidRPr="00E7405E" w:rsidRDefault="00E7405E" w:rsidP="00E7405E">
      <w:pPr>
        <w:spacing w:after="0" w:line="240" w:lineRule="auto"/>
        <w:rPr>
          <w:rFonts w:ascii="Calibri" w:hAnsi="Calibri"/>
          <w:noProof/>
        </w:rPr>
      </w:pPr>
      <w:r w:rsidRPr="00E7405E">
        <w:rPr>
          <w:rFonts w:ascii="Calibri" w:hAnsi="Calibri"/>
          <w:noProof/>
        </w:rPr>
        <w:t>[29] Y. Dote, S. Sawayama, S. Inoue, T. Minowa, S.-y. Yokoyama, Recovery of liquid fuel from hydrocarbon-rich microalgae by thermochemical liquefaction, Fuel, 73 (1994) 1855-1857.</w:t>
      </w:r>
    </w:p>
    <w:p w14:paraId="152C9B1C" w14:textId="77777777" w:rsidR="00E7405E" w:rsidRPr="00E7405E" w:rsidRDefault="00E7405E" w:rsidP="00E7405E">
      <w:pPr>
        <w:spacing w:after="0" w:line="240" w:lineRule="auto"/>
        <w:rPr>
          <w:rFonts w:ascii="Calibri" w:hAnsi="Calibri"/>
          <w:noProof/>
        </w:rPr>
      </w:pPr>
      <w:r w:rsidRPr="00E7405E">
        <w:rPr>
          <w:rFonts w:ascii="Calibri" w:hAnsi="Calibri"/>
          <w:noProof/>
        </w:rPr>
        <w:t>[30] C. Gai, Y. Zhang, W.-T. Chen, P. Zhang, Y. Dong, Energy and nutrient recovery efficiencies in biocrude oil produced via hydrothermal liquefaction of Chlorella pyrenoidosa, RSC Advances, 4 (2014) 16958-16967.</w:t>
      </w:r>
    </w:p>
    <w:p w14:paraId="3829064D" w14:textId="77777777" w:rsidR="00E7405E" w:rsidRPr="00E7405E" w:rsidRDefault="00E7405E" w:rsidP="00E7405E">
      <w:pPr>
        <w:spacing w:after="0" w:line="240" w:lineRule="auto"/>
        <w:rPr>
          <w:rFonts w:ascii="Calibri" w:hAnsi="Calibri"/>
          <w:noProof/>
        </w:rPr>
      </w:pPr>
      <w:r w:rsidRPr="00E7405E">
        <w:rPr>
          <w:rFonts w:ascii="Calibri" w:hAnsi="Calibri"/>
          <w:noProof/>
        </w:rPr>
        <w:t>[31] T. Minowa, S.-y. Yokoyama, M. Kishimoto, T. Okakura, Oil production from algal cells of Dunaliella tertiolecta by direct thermochemical liquefaction, Fuel, 74 (1995) 1735-1738.</w:t>
      </w:r>
    </w:p>
    <w:p w14:paraId="69897655" w14:textId="77777777" w:rsidR="00E7405E" w:rsidRPr="00E7405E" w:rsidRDefault="00E7405E" w:rsidP="00E7405E">
      <w:pPr>
        <w:spacing w:after="0" w:line="240" w:lineRule="auto"/>
        <w:rPr>
          <w:rFonts w:ascii="Calibri" w:hAnsi="Calibri"/>
          <w:noProof/>
        </w:rPr>
      </w:pPr>
      <w:r w:rsidRPr="00E7405E">
        <w:rPr>
          <w:rFonts w:ascii="Calibri" w:hAnsi="Calibri"/>
          <w:noProof/>
        </w:rPr>
        <w:t>[32] S.W. Weller, Catalysis and catalyst dispersion in coal liquefaction, Energy &amp; fuels, 8 (1994) 415-420.</w:t>
      </w:r>
    </w:p>
    <w:p w14:paraId="4F8A28AF" w14:textId="77777777" w:rsidR="00E7405E" w:rsidRPr="00E7405E" w:rsidRDefault="00E7405E" w:rsidP="00E7405E">
      <w:pPr>
        <w:spacing w:after="0" w:line="240" w:lineRule="auto"/>
        <w:rPr>
          <w:rFonts w:ascii="Calibri" w:hAnsi="Calibri"/>
          <w:noProof/>
        </w:rPr>
      </w:pPr>
      <w:r w:rsidRPr="00E7405E">
        <w:rPr>
          <w:rFonts w:ascii="Calibri" w:hAnsi="Calibri"/>
          <w:noProof/>
        </w:rPr>
        <w:t>[33] C. Xu, T. Etcheverry, Hydro-liquefaction of woody biomass in sub-and super-critical ethanol with iron-based catalysts, Fuel, 87 (2008) 335-345.</w:t>
      </w:r>
    </w:p>
    <w:p w14:paraId="5AB8FCB1" w14:textId="77777777" w:rsidR="00E7405E" w:rsidRPr="00E7405E" w:rsidRDefault="00E7405E" w:rsidP="00E7405E">
      <w:pPr>
        <w:spacing w:after="0" w:line="240" w:lineRule="auto"/>
        <w:rPr>
          <w:rFonts w:ascii="Calibri" w:hAnsi="Calibri"/>
          <w:noProof/>
        </w:rPr>
      </w:pPr>
      <w:r w:rsidRPr="00E7405E">
        <w:rPr>
          <w:rFonts w:ascii="Calibri" w:hAnsi="Calibri"/>
          <w:noProof/>
        </w:rPr>
        <w:t>[34] L.G. Alba, C. Torri, D. Fabbri, S.R. Kersten, D.W.W. Brilman, Microalgae growth on the aqueous phase from hydrothermal liquefaction of the same microalgae, Chemical engineering journal, 228 (2013) 214-223.</w:t>
      </w:r>
    </w:p>
    <w:p w14:paraId="236B216C" w14:textId="77777777" w:rsidR="00E7405E" w:rsidRPr="00E7405E" w:rsidRDefault="00E7405E" w:rsidP="00E7405E">
      <w:pPr>
        <w:spacing w:line="240" w:lineRule="auto"/>
        <w:rPr>
          <w:rFonts w:ascii="Calibri" w:hAnsi="Calibri"/>
          <w:noProof/>
        </w:rPr>
      </w:pPr>
      <w:r w:rsidRPr="00E7405E">
        <w:rPr>
          <w:rFonts w:ascii="Calibri" w:hAnsi="Calibri"/>
          <w:noProof/>
        </w:rPr>
        <w:t>[35] T.M. Brown, P. Duan, P.E. Savage, Hydrothermal liquefaction and gasification of Nannochloropsis sp, Energy &amp; Fuels, 24 (2010) 3639-3646.</w:t>
      </w:r>
    </w:p>
    <w:p w14:paraId="59F22142" w14:textId="05C2F62F" w:rsidR="00E7405E" w:rsidRDefault="00E7405E" w:rsidP="00E7405E">
      <w:pPr>
        <w:spacing w:line="240" w:lineRule="auto"/>
        <w:rPr>
          <w:rFonts w:ascii="Calibri" w:hAnsi="Calibri"/>
          <w:noProof/>
          <w:lang w:val="en-US"/>
        </w:rPr>
      </w:pPr>
    </w:p>
    <w:p w14:paraId="6FA42B22" w14:textId="2F57E4D2" w:rsidR="00775F6B" w:rsidRDefault="00C215C5" w:rsidP="00B50382">
      <w:pPr>
        <w:spacing w:line="480" w:lineRule="auto"/>
      </w:pPr>
      <w:r>
        <w:fldChar w:fldCharType="end"/>
      </w:r>
    </w:p>
    <w:p w14:paraId="0817AB7F" w14:textId="23F7A9CF" w:rsidR="00537F80" w:rsidRDefault="00537F80" w:rsidP="00B50382">
      <w:pPr>
        <w:spacing w:line="480" w:lineRule="auto"/>
      </w:pPr>
    </w:p>
    <w:sectPr w:rsidR="00537F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DBECF" w14:textId="77777777" w:rsidR="00447236" w:rsidRDefault="00447236" w:rsidP="00A62FEF">
      <w:pPr>
        <w:spacing w:after="0" w:line="240" w:lineRule="auto"/>
      </w:pPr>
      <w:r>
        <w:separator/>
      </w:r>
    </w:p>
  </w:endnote>
  <w:endnote w:type="continuationSeparator" w:id="0">
    <w:p w14:paraId="00334F80" w14:textId="77777777" w:rsidR="00447236" w:rsidRDefault="00447236" w:rsidP="00A6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9DDD7" w14:textId="77777777" w:rsidR="00447236" w:rsidRDefault="00447236" w:rsidP="00A62FEF">
      <w:pPr>
        <w:spacing w:after="0" w:line="240" w:lineRule="auto"/>
      </w:pPr>
      <w:r>
        <w:separator/>
      </w:r>
    </w:p>
  </w:footnote>
  <w:footnote w:type="continuationSeparator" w:id="0">
    <w:p w14:paraId="02C092A8" w14:textId="77777777" w:rsidR="00447236" w:rsidRDefault="00447236" w:rsidP="00A62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5A8E"/>
    <w:multiLevelType w:val="hybridMultilevel"/>
    <w:tmpl w:val="AC32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28569E"/>
    <w:multiLevelType w:val="hybridMultilevel"/>
    <w:tmpl w:val="C42A2FC2"/>
    <w:lvl w:ilvl="0" w:tplc="0809000B">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A411C"/>
    <w:multiLevelType w:val="hybridMultilevel"/>
    <w:tmpl w:val="520AD8BA"/>
    <w:lvl w:ilvl="0" w:tplc="7B62058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75F10"/>
    <w:multiLevelType w:val="multilevel"/>
    <w:tmpl w:val="EF808546"/>
    <w:lvl w:ilvl="0">
      <w:start w:val="1"/>
      <w:numFmt w:val="decimal"/>
      <w:pStyle w:val="Heading1"/>
      <w:lvlText w:val="%1"/>
      <w:lvlJc w:val="left"/>
      <w:pPr>
        <w:ind w:left="432" w:hanging="432"/>
      </w:pPr>
      <w:rPr>
        <w:b/>
        <w:bCs w:val="0"/>
        <w:i w:val="0"/>
        <w:iCs w:val="0"/>
        <w:caps w:val="0"/>
        <w:smallCaps w:val="0"/>
        <w:strike w:val="0"/>
        <w:dstrike w:val="0"/>
        <w:noProof w:val="0"/>
        <w:vanish w:val="0"/>
        <w:color w:val="262626" w:themeColor="text1" w:themeTint="D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3411" w:hanging="576"/>
      </w:pPr>
      <w:rPr>
        <w:b/>
        <w:bCs w:val="0"/>
        <w:i w:val="0"/>
        <w:iCs w:val="0"/>
        <w:caps w:val="0"/>
        <w:smallCaps w:val="0"/>
        <w:strike w:val="0"/>
        <w:dstrike w:val="0"/>
        <w:noProof w:val="0"/>
        <w:vanish w:val="0"/>
        <w:color w:val="262626" w:themeColor="text1" w:themeTint="D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color w:val="404040" w:themeColor="text1" w:themeTint="BF"/>
        <w:u w:val="none"/>
      </w:rPr>
    </w:lvl>
    <w:lvl w:ilvl="3">
      <w:start w:val="1"/>
      <w:numFmt w:val="decimal"/>
      <w:pStyle w:val="Heading4"/>
      <w:lvlText w:val="%1.%2.%3.%4"/>
      <w:lvlJc w:val="left"/>
      <w:pPr>
        <w:ind w:left="864" w:hanging="864"/>
      </w:pPr>
      <w:rPr>
        <w:color w:val="404040" w:themeColor="text1" w:themeTint="BF"/>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uel Processing Technology 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fa5pvx0a352spiedf5tvff5409zrwa0zxvsd&quot;&gt;CJC library Main&lt;record-ids&gt;&lt;item&gt;961&lt;/item&gt;&lt;item&gt;962&lt;/item&gt;&lt;item&gt;963&lt;/item&gt;&lt;item&gt;964&lt;/item&gt;&lt;item&gt;965&lt;/item&gt;&lt;item&gt;966&lt;/item&gt;&lt;item&gt;967&lt;/item&gt;&lt;item&gt;968&lt;/item&gt;&lt;item&gt;969&lt;/item&gt;&lt;item&gt;970&lt;/item&gt;&lt;item&gt;971&lt;/item&gt;&lt;item&gt;972&lt;/item&gt;&lt;item&gt;973&lt;/item&gt;&lt;item&gt;974&lt;/item&gt;&lt;item&gt;975&lt;/item&gt;&lt;item&gt;976&lt;/item&gt;&lt;item&gt;977&lt;/item&gt;&lt;item&gt;978&lt;/item&gt;&lt;item&gt;979&lt;/item&gt;&lt;item&gt;980&lt;/item&gt;&lt;item&gt;981&lt;/item&gt;&lt;item&gt;982&lt;/item&gt;&lt;item&gt;983&lt;/item&gt;&lt;item&gt;984&lt;/item&gt;&lt;item&gt;985&lt;/item&gt;&lt;item&gt;986&lt;/item&gt;&lt;item&gt;987&lt;/item&gt;&lt;item&gt;989&lt;/item&gt;&lt;item&gt;990&lt;/item&gt;&lt;item&gt;991&lt;/item&gt;&lt;item&gt;992&lt;/item&gt;&lt;item&gt;993&lt;/item&gt;&lt;/record-ids&gt;&lt;/item&gt;&lt;/Libraries&gt;"/>
  </w:docVars>
  <w:rsids>
    <w:rsidRoot w:val="00775F6B"/>
    <w:rsid w:val="00001875"/>
    <w:rsid w:val="00003210"/>
    <w:rsid w:val="0000376B"/>
    <w:rsid w:val="000048A7"/>
    <w:rsid w:val="000060A6"/>
    <w:rsid w:val="00013DC6"/>
    <w:rsid w:val="00037F05"/>
    <w:rsid w:val="000539C1"/>
    <w:rsid w:val="000606E4"/>
    <w:rsid w:val="00063D3E"/>
    <w:rsid w:val="00072716"/>
    <w:rsid w:val="00075272"/>
    <w:rsid w:val="00075A7D"/>
    <w:rsid w:val="00077DF8"/>
    <w:rsid w:val="00080645"/>
    <w:rsid w:val="000833BF"/>
    <w:rsid w:val="000912AA"/>
    <w:rsid w:val="00094065"/>
    <w:rsid w:val="000A111A"/>
    <w:rsid w:val="000A1807"/>
    <w:rsid w:val="000A21D2"/>
    <w:rsid w:val="000A53A8"/>
    <w:rsid w:val="000A6D60"/>
    <w:rsid w:val="000B120D"/>
    <w:rsid w:val="000B6DE4"/>
    <w:rsid w:val="000C3D2F"/>
    <w:rsid w:val="000C5855"/>
    <w:rsid w:val="000C5F52"/>
    <w:rsid w:val="000D7EEB"/>
    <w:rsid w:val="000E355E"/>
    <w:rsid w:val="000E3592"/>
    <w:rsid w:val="000E435C"/>
    <w:rsid w:val="000F7971"/>
    <w:rsid w:val="00102D59"/>
    <w:rsid w:val="0010452A"/>
    <w:rsid w:val="00106FE5"/>
    <w:rsid w:val="00107A58"/>
    <w:rsid w:val="001107B5"/>
    <w:rsid w:val="00111B4F"/>
    <w:rsid w:val="00111BEB"/>
    <w:rsid w:val="001121C3"/>
    <w:rsid w:val="001146BD"/>
    <w:rsid w:val="00117D6B"/>
    <w:rsid w:val="00117E58"/>
    <w:rsid w:val="0013330E"/>
    <w:rsid w:val="00133874"/>
    <w:rsid w:val="001421D8"/>
    <w:rsid w:val="00151672"/>
    <w:rsid w:val="00151B7D"/>
    <w:rsid w:val="00152AB0"/>
    <w:rsid w:val="00153363"/>
    <w:rsid w:val="00157531"/>
    <w:rsid w:val="00157550"/>
    <w:rsid w:val="00167F6D"/>
    <w:rsid w:val="00177A11"/>
    <w:rsid w:val="00181CBD"/>
    <w:rsid w:val="0019184D"/>
    <w:rsid w:val="00192676"/>
    <w:rsid w:val="0019549A"/>
    <w:rsid w:val="001979D0"/>
    <w:rsid w:val="001A3333"/>
    <w:rsid w:val="001B5A4F"/>
    <w:rsid w:val="001B66BD"/>
    <w:rsid w:val="001C69FB"/>
    <w:rsid w:val="001D7097"/>
    <w:rsid w:val="001E2B45"/>
    <w:rsid w:val="001E3829"/>
    <w:rsid w:val="001E4F8D"/>
    <w:rsid w:val="001E5C39"/>
    <w:rsid w:val="001F7571"/>
    <w:rsid w:val="001F7E1A"/>
    <w:rsid w:val="0020482B"/>
    <w:rsid w:val="00206B3E"/>
    <w:rsid w:val="00211DDF"/>
    <w:rsid w:val="00212938"/>
    <w:rsid w:val="00225EB8"/>
    <w:rsid w:val="00231588"/>
    <w:rsid w:val="002339E9"/>
    <w:rsid w:val="00235EFC"/>
    <w:rsid w:val="0023615F"/>
    <w:rsid w:val="002436EB"/>
    <w:rsid w:val="002447E7"/>
    <w:rsid w:val="00256A5C"/>
    <w:rsid w:val="00256E7A"/>
    <w:rsid w:val="00263469"/>
    <w:rsid w:val="0026765D"/>
    <w:rsid w:val="00271F2B"/>
    <w:rsid w:val="0028389D"/>
    <w:rsid w:val="00283E84"/>
    <w:rsid w:val="0028520A"/>
    <w:rsid w:val="00296878"/>
    <w:rsid w:val="002A1C13"/>
    <w:rsid w:val="002A41EF"/>
    <w:rsid w:val="002B4E4B"/>
    <w:rsid w:val="002B726A"/>
    <w:rsid w:val="002C55FC"/>
    <w:rsid w:val="002D1CEF"/>
    <w:rsid w:val="002D2E41"/>
    <w:rsid w:val="002E14CB"/>
    <w:rsid w:val="002E4298"/>
    <w:rsid w:val="002F178D"/>
    <w:rsid w:val="002F7B4D"/>
    <w:rsid w:val="003015FC"/>
    <w:rsid w:val="00306178"/>
    <w:rsid w:val="00307EB1"/>
    <w:rsid w:val="0031539C"/>
    <w:rsid w:val="00324323"/>
    <w:rsid w:val="00331713"/>
    <w:rsid w:val="00335481"/>
    <w:rsid w:val="00335F60"/>
    <w:rsid w:val="003373C2"/>
    <w:rsid w:val="003402AD"/>
    <w:rsid w:val="00342390"/>
    <w:rsid w:val="00346318"/>
    <w:rsid w:val="00351241"/>
    <w:rsid w:val="00354357"/>
    <w:rsid w:val="00357971"/>
    <w:rsid w:val="00357B2F"/>
    <w:rsid w:val="00363964"/>
    <w:rsid w:val="003640C6"/>
    <w:rsid w:val="00374E29"/>
    <w:rsid w:val="00375FCF"/>
    <w:rsid w:val="00376458"/>
    <w:rsid w:val="00380B1C"/>
    <w:rsid w:val="003B1A5E"/>
    <w:rsid w:val="003B2CE2"/>
    <w:rsid w:val="003B3973"/>
    <w:rsid w:val="003B6EC4"/>
    <w:rsid w:val="003C2B12"/>
    <w:rsid w:val="003C2F1E"/>
    <w:rsid w:val="003C45FC"/>
    <w:rsid w:val="003D580D"/>
    <w:rsid w:val="003D7AB8"/>
    <w:rsid w:val="003E0AF2"/>
    <w:rsid w:val="003F0944"/>
    <w:rsid w:val="003F0A27"/>
    <w:rsid w:val="003F4385"/>
    <w:rsid w:val="0040623F"/>
    <w:rsid w:val="004116D3"/>
    <w:rsid w:val="00412ED5"/>
    <w:rsid w:val="004147A1"/>
    <w:rsid w:val="00422791"/>
    <w:rsid w:val="004232DE"/>
    <w:rsid w:val="00430476"/>
    <w:rsid w:val="004310E2"/>
    <w:rsid w:val="0044207E"/>
    <w:rsid w:val="004422EE"/>
    <w:rsid w:val="00443DEF"/>
    <w:rsid w:val="00443F12"/>
    <w:rsid w:val="00444162"/>
    <w:rsid w:val="00447236"/>
    <w:rsid w:val="00450630"/>
    <w:rsid w:val="00470987"/>
    <w:rsid w:val="004724AB"/>
    <w:rsid w:val="00473010"/>
    <w:rsid w:val="004759DF"/>
    <w:rsid w:val="004845FA"/>
    <w:rsid w:val="004A0C27"/>
    <w:rsid w:val="004A284E"/>
    <w:rsid w:val="004A2D6C"/>
    <w:rsid w:val="004A652E"/>
    <w:rsid w:val="004B5C3D"/>
    <w:rsid w:val="004B5FA2"/>
    <w:rsid w:val="004C0FDA"/>
    <w:rsid w:val="004C28D1"/>
    <w:rsid w:val="004C34F9"/>
    <w:rsid w:val="004D2E19"/>
    <w:rsid w:val="004D3C05"/>
    <w:rsid w:val="004D6E4D"/>
    <w:rsid w:val="004E0620"/>
    <w:rsid w:val="004E5CF8"/>
    <w:rsid w:val="004F0C50"/>
    <w:rsid w:val="004F30EA"/>
    <w:rsid w:val="004F63F8"/>
    <w:rsid w:val="004F7694"/>
    <w:rsid w:val="00500162"/>
    <w:rsid w:val="005017ED"/>
    <w:rsid w:val="005026B9"/>
    <w:rsid w:val="00522B83"/>
    <w:rsid w:val="0052767A"/>
    <w:rsid w:val="00527959"/>
    <w:rsid w:val="00537F80"/>
    <w:rsid w:val="00542D6E"/>
    <w:rsid w:val="00544F23"/>
    <w:rsid w:val="00547DEA"/>
    <w:rsid w:val="0055402F"/>
    <w:rsid w:val="00555D7E"/>
    <w:rsid w:val="005651AD"/>
    <w:rsid w:val="00566E2C"/>
    <w:rsid w:val="0059178D"/>
    <w:rsid w:val="005924D7"/>
    <w:rsid w:val="00593D50"/>
    <w:rsid w:val="005A30D9"/>
    <w:rsid w:val="005A531D"/>
    <w:rsid w:val="005A574A"/>
    <w:rsid w:val="005B39DF"/>
    <w:rsid w:val="005C5367"/>
    <w:rsid w:val="005D1871"/>
    <w:rsid w:val="005D613D"/>
    <w:rsid w:val="005D68B2"/>
    <w:rsid w:val="005D766F"/>
    <w:rsid w:val="005E73AC"/>
    <w:rsid w:val="005F057B"/>
    <w:rsid w:val="005F0637"/>
    <w:rsid w:val="005F1681"/>
    <w:rsid w:val="006027CC"/>
    <w:rsid w:val="00604526"/>
    <w:rsid w:val="00610C31"/>
    <w:rsid w:val="006154BB"/>
    <w:rsid w:val="006206F2"/>
    <w:rsid w:val="00630B80"/>
    <w:rsid w:val="00633754"/>
    <w:rsid w:val="00637784"/>
    <w:rsid w:val="006518B7"/>
    <w:rsid w:val="006529D1"/>
    <w:rsid w:val="006547F9"/>
    <w:rsid w:val="00657C85"/>
    <w:rsid w:val="00671C5C"/>
    <w:rsid w:val="0068026E"/>
    <w:rsid w:val="00680DF5"/>
    <w:rsid w:val="00680EFA"/>
    <w:rsid w:val="00693352"/>
    <w:rsid w:val="0069657A"/>
    <w:rsid w:val="00696DEC"/>
    <w:rsid w:val="00697EDD"/>
    <w:rsid w:val="006B097B"/>
    <w:rsid w:val="006B695D"/>
    <w:rsid w:val="006C0081"/>
    <w:rsid w:val="006C17AF"/>
    <w:rsid w:val="006C4C1E"/>
    <w:rsid w:val="006D2100"/>
    <w:rsid w:val="006F102B"/>
    <w:rsid w:val="006F216F"/>
    <w:rsid w:val="006F4682"/>
    <w:rsid w:val="006F60EF"/>
    <w:rsid w:val="006F68A5"/>
    <w:rsid w:val="0070105A"/>
    <w:rsid w:val="00704F73"/>
    <w:rsid w:val="00710FA6"/>
    <w:rsid w:val="00711B78"/>
    <w:rsid w:val="00712630"/>
    <w:rsid w:val="00721E10"/>
    <w:rsid w:val="00732323"/>
    <w:rsid w:val="0073323B"/>
    <w:rsid w:val="0073323F"/>
    <w:rsid w:val="007351E0"/>
    <w:rsid w:val="00742C10"/>
    <w:rsid w:val="00743ECF"/>
    <w:rsid w:val="00755367"/>
    <w:rsid w:val="00756888"/>
    <w:rsid w:val="007729BA"/>
    <w:rsid w:val="00775F6B"/>
    <w:rsid w:val="007761BA"/>
    <w:rsid w:val="00781971"/>
    <w:rsid w:val="00792EFB"/>
    <w:rsid w:val="007949B6"/>
    <w:rsid w:val="007A18BD"/>
    <w:rsid w:val="007A1EE3"/>
    <w:rsid w:val="007A4807"/>
    <w:rsid w:val="007B2CE0"/>
    <w:rsid w:val="007B52F0"/>
    <w:rsid w:val="007C0ABD"/>
    <w:rsid w:val="007C0EA0"/>
    <w:rsid w:val="007C4F2B"/>
    <w:rsid w:val="007C5CFD"/>
    <w:rsid w:val="007D7B77"/>
    <w:rsid w:val="007E1F30"/>
    <w:rsid w:val="007E54D8"/>
    <w:rsid w:val="007E5535"/>
    <w:rsid w:val="007E5945"/>
    <w:rsid w:val="007F4DFF"/>
    <w:rsid w:val="0080049C"/>
    <w:rsid w:val="00800822"/>
    <w:rsid w:val="00801ECD"/>
    <w:rsid w:val="00803B28"/>
    <w:rsid w:val="00815FFE"/>
    <w:rsid w:val="00816EF3"/>
    <w:rsid w:val="0082187E"/>
    <w:rsid w:val="008225FF"/>
    <w:rsid w:val="008272AC"/>
    <w:rsid w:val="00832333"/>
    <w:rsid w:val="0084188B"/>
    <w:rsid w:val="00842B2C"/>
    <w:rsid w:val="008470EC"/>
    <w:rsid w:val="008525FC"/>
    <w:rsid w:val="008558F6"/>
    <w:rsid w:val="00860561"/>
    <w:rsid w:val="00862BBE"/>
    <w:rsid w:val="00864E87"/>
    <w:rsid w:val="008806C6"/>
    <w:rsid w:val="008811B4"/>
    <w:rsid w:val="0088217D"/>
    <w:rsid w:val="00886CB0"/>
    <w:rsid w:val="00894C86"/>
    <w:rsid w:val="008A4C94"/>
    <w:rsid w:val="008A53CA"/>
    <w:rsid w:val="008A7012"/>
    <w:rsid w:val="008B39DE"/>
    <w:rsid w:val="008C0D4F"/>
    <w:rsid w:val="008D215F"/>
    <w:rsid w:val="008D245B"/>
    <w:rsid w:val="008D48C9"/>
    <w:rsid w:val="008D68BA"/>
    <w:rsid w:val="008E3BD7"/>
    <w:rsid w:val="009156AC"/>
    <w:rsid w:val="00920449"/>
    <w:rsid w:val="009204B6"/>
    <w:rsid w:val="00920FDA"/>
    <w:rsid w:val="00922C7F"/>
    <w:rsid w:val="00930EBC"/>
    <w:rsid w:val="00931EA2"/>
    <w:rsid w:val="0093282D"/>
    <w:rsid w:val="009372E4"/>
    <w:rsid w:val="00942FBE"/>
    <w:rsid w:val="0094377E"/>
    <w:rsid w:val="0095084C"/>
    <w:rsid w:val="009514C8"/>
    <w:rsid w:val="00952019"/>
    <w:rsid w:val="00952A63"/>
    <w:rsid w:val="00956617"/>
    <w:rsid w:val="009568AB"/>
    <w:rsid w:val="009739A3"/>
    <w:rsid w:val="00974630"/>
    <w:rsid w:val="00982859"/>
    <w:rsid w:val="00987CD0"/>
    <w:rsid w:val="00992176"/>
    <w:rsid w:val="00997571"/>
    <w:rsid w:val="009A07E5"/>
    <w:rsid w:val="009A67D7"/>
    <w:rsid w:val="009C1E61"/>
    <w:rsid w:val="009C2950"/>
    <w:rsid w:val="009C69B1"/>
    <w:rsid w:val="009C7F4A"/>
    <w:rsid w:val="009D0EC6"/>
    <w:rsid w:val="009F42EB"/>
    <w:rsid w:val="009F464C"/>
    <w:rsid w:val="009F4FCF"/>
    <w:rsid w:val="009F638B"/>
    <w:rsid w:val="009F6BFA"/>
    <w:rsid w:val="00A017CD"/>
    <w:rsid w:val="00A060E3"/>
    <w:rsid w:val="00A12CE4"/>
    <w:rsid w:val="00A13F2E"/>
    <w:rsid w:val="00A215E8"/>
    <w:rsid w:val="00A25B64"/>
    <w:rsid w:val="00A33A0C"/>
    <w:rsid w:val="00A446CA"/>
    <w:rsid w:val="00A44F59"/>
    <w:rsid w:val="00A46F3D"/>
    <w:rsid w:val="00A54CF1"/>
    <w:rsid w:val="00A57AE1"/>
    <w:rsid w:val="00A57E69"/>
    <w:rsid w:val="00A60375"/>
    <w:rsid w:val="00A62FEF"/>
    <w:rsid w:val="00A756D6"/>
    <w:rsid w:val="00A838DF"/>
    <w:rsid w:val="00A843E7"/>
    <w:rsid w:val="00AA687F"/>
    <w:rsid w:val="00AB5850"/>
    <w:rsid w:val="00AC0E0D"/>
    <w:rsid w:val="00AD46A0"/>
    <w:rsid w:val="00AD5D65"/>
    <w:rsid w:val="00B04ABC"/>
    <w:rsid w:val="00B10769"/>
    <w:rsid w:val="00B1164A"/>
    <w:rsid w:val="00B20469"/>
    <w:rsid w:val="00B258D7"/>
    <w:rsid w:val="00B30D69"/>
    <w:rsid w:val="00B31B59"/>
    <w:rsid w:val="00B44EA9"/>
    <w:rsid w:val="00B473AB"/>
    <w:rsid w:val="00B50382"/>
    <w:rsid w:val="00B5310E"/>
    <w:rsid w:val="00B53F45"/>
    <w:rsid w:val="00B54D51"/>
    <w:rsid w:val="00B559F9"/>
    <w:rsid w:val="00B56166"/>
    <w:rsid w:val="00B67972"/>
    <w:rsid w:val="00B71543"/>
    <w:rsid w:val="00B718C6"/>
    <w:rsid w:val="00B76535"/>
    <w:rsid w:val="00B82286"/>
    <w:rsid w:val="00B94CB9"/>
    <w:rsid w:val="00B96F5B"/>
    <w:rsid w:val="00BA000B"/>
    <w:rsid w:val="00BB06F4"/>
    <w:rsid w:val="00BB14EC"/>
    <w:rsid w:val="00BB3734"/>
    <w:rsid w:val="00BC209E"/>
    <w:rsid w:val="00BC2ED7"/>
    <w:rsid w:val="00BC38E2"/>
    <w:rsid w:val="00BD407F"/>
    <w:rsid w:val="00BD5955"/>
    <w:rsid w:val="00BE09BF"/>
    <w:rsid w:val="00BE0BF2"/>
    <w:rsid w:val="00BE5D57"/>
    <w:rsid w:val="00BE5E17"/>
    <w:rsid w:val="00BE7835"/>
    <w:rsid w:val="00BE78D6"/>
    <w:rsid w:val="00BF0F90"/>
    <w:rsid w:val="00BF5FE1"/>
    <w:rsid w:val="00C055AF"/>
    <w:rsid w:val="00C05B35"/>
    <w:rsid w:val="00C1452A"/>
    <w:rsid w:val="00C14A16"/>
    <w:rsid w:val="00C20EE6"/>
    <w:rsid w:val="00C215C5"/>
    <w:rsid w:val="00C31D8B"/>
    <w:rsid w:val="00C40524"/>
    <w:rsid w:val="00C40A89"/>
    <w:rsid w:val="00C43737"/>
    <w:rsid w:val="00C5082A"/>
    <w:rsid w:val="00C53A53"/>
    <w:rsid w:val="00C62E3E"/>
    <w:rsid w:val="00C6434E"/>
    <w:rsid w:val="00C77C52"/>
    <w:rsid w:val="00C80887"/>
    <w:rsid w:val="00C9335D"/>
    <w:rsid w:val="00C94700"/>
    <w:rsid w:val="00C957E6"/>
    <w:rsid w:val="00C95F3D"/>
    <w:rsid w:val="00C97159"/>
    <w:rsid w:val="00CA4615"/>
    <w:rsid w:val="00CA4F79"/>
    <w:rsid w:val="00CB37E5"/>
    <w:rsid w:val="00CC4E72"/>
    <w:rsid w:val="00CD3F21"/>
    <w:rsid w:val="00CD4C3D"/>
    <w:rsid w:val="00CD664F"/>
    <w:rsid w:val="00CE1BD7"/>
    <w:rsid w:val="00CF0155"/>
    <w:rsid w:val="00CF477E"/>
    <w:rsid w:val="00CF6D50"/>
    <w:rsid w:val="00D05BE5"/>
    <w:rsid w:val="00D210F8"/>
    <w:rsid w:val="00D214B5"/>
    <w:rsid w:val="00D21A11"/>
    <w:rsid w:val="00D2497F"/>
    <w:rsid w:val="00D24985"/>
    <w:rsid w:val="00D272AA"/>
    <w:rsid w:val="00D35950"/>
    <w:rsid w:val="00D36E63"/>
    <w:rsid w:val="00D57E33"/>
    <w:rsid w:val="00D614C4"/>
    <w:rsid w:val="00D626D3"/>
    <w:rsid w:val="00D66779"/>
    <w:rsid w:val="00D67213"/>
    <w:rsid w:val="00D70423"/>
    <w:rsid w:val="00D776BE"/>
    <w:rsid w:val="00D85976"/>
    <w:rsid w:val="00D87A0A"/>
    <w:rsid w:val="00D92FB4"/>
    <w:rsid w:val="00D940D5"/>
    <w:rsid w:val="00D9623C"/>
    <w:rsid w:val="00DA214D"/>
    <w:rsid w:val="00DA2C71"/>
    <w:rsid w:val="00DA3B6D"/>
    <w:rsid w:val="00DA4DD0"/>
    <w:rsid w:val="00DA77F6"/>
    <w:rsid w:val="00DB4585"/>
    <w:rsid w:val="00DC33B6"/>
    <w:rsid w:val="00DD3E95"/>
    <w:rsid w:val="00DD5738"/>
    <w:rsid w:val="00DD699A"/>
    <w:rsid w:val="00DE08F6"/>
    <w:rsid w:val="00DE6261"/>
    <w:rsid w:val="00DF70CD"/>
    <w:rsid w:val="00E0033C"/>
    <w:rsid w:val="00E007CD"/>
    <w:rsid w:val="00E01B93"/>
    <w:rsid w:val="00E105D0"/>
    <w:rsid w:val="00E10AA3"/>
    <w:rsid w:val="00E17813"/>
    <w:rsid w:val="00E2378C"/>
    <w:rsid w:val="00E3795A"/>
    <w:rsid w:val="00E52ED2"/>
    <w:rsid w:val="00E57DA5"/>
    <w:rsid w:val="00E63A7C"/>
    <w:rsid w:val="00E70A79"/>
    <w:rsid w:val="00E7405E"/>
    <w:rsid w:val="00E807AE"/>
    <w:rsid w:val="00E814D2"/>
    <w:rsid w:val="00EA2E45"/>
    <w:rsid w:val="00EA3D1E"/>
    <w:rsid w:val="00EB79B7"/>
    <w:rsid w:val="00EC2307"/>
    <w:rsid w:val="00EC3694"/>
    <w:rsid w:val="00EC525F"/>
    <w:rsid w:val="00ED3AE0"/>
    <w:rsid w:val="00ED4B72"/>
    <w:rsid w:val="00EE134F"/>
    <w:rsid w:val="00EE2F79"/>
    <w:rsid w:val="00EF59F1"/>
    <w:rsid w:val="00F04C81"/>
    <w:rsid w:val="00F058E2"/>
    <w:rsid w:val="00F06B41"/>
    <w:rsid w:val="00F11D91"/>
    <w:rsid w:val="00F20ABA"/>
    <w:rsid w:val="00F236D7"/>
    <w:rsid w:val="00F26D5C"/>
    <w:rsid w:val="00F27009"/>
    <w:rsid w:val="00F37816"/>
    <w:rsid w:val="00F46B31"/>
    <w:rsid w:val="00F631C4"/>
    <w:rsid w:val="00F67CEE"/>
    <w:rsid w:val="00F735BA"/>
    <w:rsid w:val="00F73ADC"/>
    <w:rsid w:val="00F83A38"/>
    <w:rsid w:val="00F84CDE"/>
    <w:rsid w:val="00F91471"/>
    <w:rsid w:val="00F927D0"/>
    <w:rsid w:val="00F92886"/>
    <w:rsid w:val="00FB2C14"/>
    <w:rsid w:val="00FB353E"/>
    <w:rsid w:val="00FB617B"/>
    <w:rsid w:val="00FB64BE"/>
    <w:rsid w:val="00FC169A"/>
    <w:rsid w:val="00FC1F2F"/>
    <w:rsid w:val="00FC4D5F"/>
    <w:rsid w:val="00FD7D2F"/>
    <w:rsid w:val="00FE18E7"/>
    <w:rsid w:val="00FE1F5A"/>
    <w:rsid w:val="00FE2D2F"/>
    <w:rsid w:val="00FF2334"/>
    <w:rsid w:val="00FF79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C5C83"/>
  <w15:docId w15:val="{5F426309-1D87-4109-B7C3-34806684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D3AE0"/>
    <w:pPr>
      <w:keepNext/>
      <w:keepLines/>
      <w:numPr>
        <w:numId w:val="1"/>
      </w:numPr>
      <w:spacing w:before="480" w:after="0" w:line="276" w:lineRule="auto"/>
      <w:jc w:val="both"/>
      <w:outlineLvl w:val="0"/>
    </w:pPr>
    <w:rPr>
      <w:rFonts w:asciiTheme="majorHAnsi" w:eastAsiaTheme="majorEastAsia" w:hAnsiTheme="majorHAnsi" w:cstheme="majorBidi"/>
      <w:b/>
      <w:bCs/>
      <w:color w:val="262626" w:themeColor="text1" w:themeTint="D9"/>
      <w:sz w:val="36"/>
      <w:szCs w:val="36"/>
    </w:rPr>
  </w:style>
  <w:style w:type="paragraph" w:styleId="Heading2">
    <w:name w:val="heading 2"/>
    <w:basedOn w:val="Normal"/>
    <w:next w:val="Normal"/>
    <w:link w:val="Heading2Char"/>
    <w:autoRedefine/>
    <w:uiPriority w:val="9"/>
    <w:unhideWhenUsed/>
    <w:qFormat/>
    <w:rsid w:val="00ED3AE0"/>
    <w:pPr>
      <w:keepNext/>
      <w:keepLines/>
      <w:numPr>
        <w:ilvl w:val="1"/>
        <w:numId w:val="1"/>
      </w:numPr>
      <w:spacing w:before="200" w:after="0" w:line="360" w:lineRule="auto"/>
      <w:ind w:left="576"/>
      <w:jc w:val="both"/>
      <w:outlineLvl w:val="1"/>
    </w:pPr>
    <w:rPr>
      <w:rFonts w:asciiTheme="majorHAnsi" w:eastAsiaTheme="majorEastAsia" w:hAnsiTheme="majorHAnsi" w:cstheme="majorBidi"/>
      <w:b/>
      <w:bCs/>
      <w:color w:val="262626" w:themeColor="text1" w:themeTint="D9"/>
      <w:sz w:val="28"/>
      <w:szCs w:val="26"/>
    </w:rPr>
  </w:style>
  <w:style w:type="paragraph" w:styleId="Heading3">
    <w:name w:val="heading 3"/>
    <w:basedOn w:val="Normal"/>
    <w:next w:val="Normal"/>
    <w:link w:val="Heading3Char"/>
    <w:uiPriority w:val="9"/>
    <w:unhideWhenUsed/>
    <w:qFormat/>
    <w:rsid w:val="00ED3AE0"/>
    <w:pPr>
      <w:keepNext/>
      <w:keepLines/>
      <w:numPr>
        <w:ilvl w:val="2"/>
        <w:numId w:val="1"/>
      </w:numPr>
      <w:spacing w:before="200" w:after="0" w:line="276" w:lineRule="auto"/>
      <w:outlineLvl w:val="2"/>
    </w:pPr>
    <w:rPr>
      <w:rFonts w:asciiTheme="majorHAnsi" w:eastAsiaTheme="majorEastAsia" w:hAnsiTheme="majorHAnsi" w:cstheme="majorBidi"/>
      <w:b/>
      <w:bCs/>
      <w:color w:val="404040" w:themeColor="text1" w:themeTint="BF"/>
      <w:sz w:val="26"/>
    </w:rPr>
  </w:style>
  <w:style w:type="paragraph" w:styleId="Heading4">
    <w:name w:val="heading 4"/>
    <w:basedOn w:val="Normal"/>
    <w:next w:val="Normal"/>
    <w:link w:val="Heading4Char"/>
    <w:uiPriority w:val="9"/>
    <w:unhideWhenUsed/>
    <w:qFormat/>
    <w:rsid w:val="00ED3AE0"/>
    <w:pPr>
      <w:keepNext/>
      <w:keepLines/>
      <w:numPr>
        <w:ilvl w:val="3"/>
        <w:numId w:val="1"/>
      </w:numPr>
      <w:spacing w:before="200" w:after="0" w:line="276" w:lineRule="auto"/>
      <w:outlineLvl w:val="3"/>
    </w:pPr>
    <w:rPr>
      <w:rFonts w:asciiTheme="majorHAnsi" w:eastAsiaTheme="majorEastAsia" w:hAnsiTheme="majorHAnsi" w:cstheme="majorBidi"/>
      <w:b/>
      <w:bCs/>
      <w:i/>
      <w:iCs/>
      <w:color w:val="404040" w:themeColor="text1" w:themeTint="BF"/>
      <w:sz w:val="24"/>
    </w:rPr>
  </w:style>
  <w:style w:type="paragraph" w:styleId="Heading5">
    <w:name w:val="heading 5"/>
    <w:basedOn w:val="Normal"/>
    <w:next w:val="Normal"/>
    <w:link w:val="Heading5Char"/>
    <w:uiPriority w:val="9"/>
    <w:unhideWhenUsed/>
    <w:qFormat/>
    <w:rsid w:val="00ED3AE0"/>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3AE0"/>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3AE0"/>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3AE0"/>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D3AE0"/>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65D"/>
    <w:rPr>
      <w:color w:val="0563C1" w:themeColor="hyperlink"/>
      <w:u w:val="single"/>
    </w:rPr>
  </w:style>
  <w:style w:type="paragraph" w:styleId="Caption">
    <w:name w:val="caption"/>
    <w:basedOn w:val="Normal"/>
    <w:next w:val="Normal"/>
    <w:uiPriority w:val="35"/>
    <w:unhideWhenUsed/>
    <w:qFormat/>
    <w:rsid w:val="00E17813"/>
    <w:pPr>
      <w:spacing w:after="200" w:line="240" w:lineRule="auto"/>
    </w:pPr>
    <w:rPr>
      <w:b/>
      <w:bCs/>
      <w:color w:val="5B9BD5" w:themeColor="accent1"/>
      <w:szCs w:val="18"/>
    </w:rPr>
  </w:style>
  <w:style w:type="paragraph" w:styleId="NormalWeb">
    <w:name w:val="Normal (Web)"/>
    <w:basedOn w:val="Normal"/>
    <w:uiPriority w:val="99"/>
    <w:unhideWhenUsed/>
    <w:rsid w:val="00657C8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ED3AE0"/>
    <w:rPr>
      <w:rFonts w:asciiTheme="majorHAnsi" w:eastAsiaTheme="majorEastAsia" w:hAnsiTheme="majorHAnsi" w:cstheme="majorBidi"/>
      <w:b/>
      <w:bCs/>
      <w:color w:val="262626" w:themeColor="text1" w:themeTint="D9"/>
      <w:sz w:val="36"/>
      <w:szCs w:val="36"/>
    </w:rPr>
  </w:style>
  <w:style w:type="character" w:customStyle="1" w:styleId="Heading2Char">
    <w:name w:val="Heading 2 Char"/>
    <w:basedOn w:val="DefaultParagraphFont"/>
    <w:link w:val="Heading2"/>
    <w:uiPriority w:val="9"/>
    <w:rsid w:val="00ED3AE0"/>
    <w:rPr>
      <w:rFonts w:asciiTheme="majorHAnsi" w:eastAsiaTheme="majorEastAsia" w:hAnsiTheme="majorHAnsi" w:cstheme="majorBidi"/>
      <w:b/>
      <w:bCs/>
      <w:color w:val="262626" w:themeColor="text1" w:themeTint="D9"/>
      <w:sz w:val="28"/>
      <w:szCs w:val="26"/>
    </w:rPr>
  </w:style>
  <w:style w:type="character" w:customStyle="1" w:styleId="Heading3Char">
    <w:name w:val="Heading 3 Char"/>
    <w:basedOn w:val="DefaultParagraphFont"/>
    <w:link w:val="Heading3"/>
    <w:uiPriority w:val="9"/>
    <w:rsid w:val="00ED3AE0"/>
    <w:rPr>
      <w:rFonts w:asciiTheme="majorHAnsi" w:eastAsiaTheme="majorEastAsia" w:hAnsiTheme="majorHAnsi" w:cstheme="majorBidi"/>
      <w:b/>
      <w:bCs/>
      <w:color w:val="404040" w:themeColor="text1" w:themeTint="BF"/>
      <w:sz w:val="26"/>
    </w:rPr>
  </w:style>
  <w:style w:type="character" w:customStyle="1" w:styleId="Heading4Char">
    <w:name w:val="Heading 4 Char"/>
    <w:basedOn w:val="DefaultParagraphFont"/>
    <w:link w:val="Heading4"/>
    <w:uiPriority w:val="9"/>
    <w:rsid w:val="00ED3AE0"/>
    <w:rPr>
      <w:rFonts w:asciiTheme="majorHAnsi" w:eastAsiaTheme="majorEastAsia" w:hAnsiTheme="majorHAnsi" w:cstheme="majorBidi"/>
      <w:b/>
      <w:bCs/>
      <w:i/>
      <w:iCs/>
      <w:color w:val="404040" w:themeColor="text1" w:themeTint="BF"/>
      <w:sz w:val="24"/>
    </w:rPr>
  </w:style>
  <w:style w:type="character" w:customStyle="1" w:styleId="Heading5Char">
    <w:name w:val="Heading 5 Char"/>
    <w:basedOn w:val="DefaultParagraphFont"/>
    <w:link w:val="Heading5"/>
    <w:uiPriority w:val="9"/>
    <w:rsid w:val="00ED3AE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D3AE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D3A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3A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3AE0"/>
    <w:rPr>
      <w:rFonts w:asciiTheme="majorHAnsi" w:eastAsiaTheme="majorEastAsia" w:hAnsiTheme="majorHAnsi" w:cstheme="majorBidi"/>
      <w:i/>
      <w:iCs/>
      <w:color w:val="404040" w:themeColor="text1" w:themeTint="BF"/>
      <w:sz w:val="20"/>
      <w:szCs w:val="20"/>
    </w:rPr>
  </w:style>
  <w:style w:type="table" w:styleId="LightShading-Accent1">
    <w:name w:val="Light Shading Accent 1"/>
    <w:basedOn w:val="TableNormal"/>
    <w:uiPriority w:val="60"/>
    <w:rsid w:val="00ED3AE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FootnoteText">
    <w:name w:val="footnote text"/>
    <w:basedOn w:val="Normal"/>
    <w:link w:val="FootnoteTextChar"/>
    <w:uiPriority w:val="99"/>
    <w:semiHidden/>
    <w:unhideWhenUsed/>
    <w:rsid w:val="00A62F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2FEF"/>
    <w:rPr>
      <w:sz w:val="20"/>
      <w:szCs w:val="20"/>
    </w:rPr>
  </w:style>
  <w:style w:type="character" w:styleId="FootnoteReference">
    <w:name w:val="footnote reference"/>
    <w:basedOn w:val="DefaultParagraphFont"/>
    <w:uiPriority w:val="99"/>
    <w:semiHidden/>
    <w:unhideWhenUsed/>
    <w:rsid w:val="00A62FEF"/>
    <w:rPr>
      <w:vertAlign w:val="superscript"/>
    </w:rPr>
  </w:style>
  <w:style w:type="table" w:styleId="TableGrid">
    <w:name w:val="Table Grid"/>
    <w:basedOn w:val="TableNormal"/>
    <w:uiPriority w:val="39"/>
    <w:rsid w:val="006D2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44F2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44F23"/>
    <w:rPr>
      <w:rFonts w:ascii="Calibri" w:hAnsi="Calibri"/>
      <w:noProof/>
      <w:lang w:val="en-US"/>
    </w:rPr>
  </w:style>
  <w:style w:type="paragraph" w:customStyle="1" w:styleId="EndNoteBibliography">
    <w:name w:val="EndNote Bibliography"/>
    <w:basedOn w:val="Normal"/>
    <w:link w:val="EndNoteBibliographyChar"/>
    <w:rsid w:val="00544F2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44F23"/>
    <w:rPr>
      <w:rFonts w:ascii="Calibri" w:hAnsi="Calibri"/>
      <w:noProof/>
      <w:lang w:val="en-US"/>
    </w:rPr>
  </w:style>
  <w:style w:type="paragraph" w:styleId="Header">
    <w:name w:val="header"/>
    <w:basedOn w:val="Normal"/>
    <w:link w:val="HeaderChar"/>
    <w:uiPriority w:val="99"/>
    <w:unhideWhenUsed/>
    <w:rsid w:val="00075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272"/>
  </w:style>
  <w:style w:type="paragraph" w:styleId="Footer">
    <w:name w:val="footer"/>
    <w:basedOn w:val="Normal"/>
    <w:link w:val="FooterChar"/>
    <w:uiPriority w:val="99"/>
    <w:unhideWhenUsed/>
    <w:rsid w:val="00075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272"/>
  </w:style>
  <w:style w:type="character" w:styleId="CommentReference">
    <w:name w:val="annotation reference"/>
    <w:basedOn w:val="DefaultParagraphFont"/>
    <w:uiPriority w:val="99"/>
    <w:semiHidden/>
    <w:unhideWhenUsed/>
    <w:rsid w:val="006B695D"/>
    <w:rPr>
      <w:sz w:val="16"/>
      <w:szCs w:val="16"/>
    </w:rPr>
  </w:style>
  <w:style w:type="paragraph" w:styleId="CommentText">
    <w:name w:val="annotation text"/>
    <w:basedOn w:val="Normal"/>
    <w:link w:val="CommentTextChar"/>
    <w:uiPriority w:val="99"/>
    <w:semiHidden/>
    <w:unhideWhenUsed/>
    <w:rsid w:val="006B695D"/>
    <w:pPr>
      <w:spacing w:line="240" w:lineRule="auto"/>
    </w:pPr>
    <w:rPr>
      <w:sz w:val="20"/>
      <w:szCs w:val="20"/>
    </w:rPr>
  </w:style>
  <w:style w:type="character" w:customStyle="1" w:styleId="CommentTextChar">
    <w:name w:val="Comment Text Char"/>
    <w:basedOn w:val="DefaultParagraphFont"/>
    <w:link w:val="CommentText"/>
    <w:uiPriority w:val="99"/>
    <w:semiHidden/>
    <w:rsid w:val="006B695D"/>
    <w:rPr>
      <w:sz w:val="20"/>
      <w:szCs w:val="20"/>
    </w:rPr>
  </w:style>
  <w:style w:type="paragraph" w:styleId="CommentSubject">
    <w:name w:val="annotation subject"/>
    <w:basedOn w:val="CommentText"/>
    <w:next w:val="CommentText"/>
    <w:link w:val="CommentSubjectChar"/>
    <w:uiPriority w:val="99"/>
    <w:semiHidden/>
    <w:unhideWhenUsed/>
    <w:rsid w:val="006B695D"/>
    <w:rPr>
      <w:b/>
      <w:bCs/>
    </w:rPr>
  </w:style>
  <w:style w:type="character" w:customStyle="1" w:styleId="CommentSubjectChar">
    <w:name w:val="Comment Subject Char"/>
    <w:basedOn w:val="CommentTextChar"/>
    <w:link w:val="CommentSubject"/>
    <w:uiPriority w:val="99"/>
    <w:semiHidden/>
    <w:rsid w:val="006B695D"/>
    <w:rPr>
      <w:b/>
      <w:bCs/>
      <w:sz w:val="20"/>
      <w:szCs w:val="20"/>
    </w:rPr>
  </w:style>
  <w:style w:type="paragraph" w:styleId="BalloonText">
    <w:name w:val="Balloon Text"/>
    <w:basedOn w:val="Normal"/>
    <w:link w:val="BalloonTextChar"/>
    <w:uiPriority w:val="99"/>
    <w:semiHidden/>
    <w:unhideWhenUsed/>
    <w:rsid w:val="006B6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5D"/>
    <w:rPr>
      <w:rFonts w:ascii="Tahoma" w:hAnsi="Tahoma" w:cs="Tahoma"/>
      <w:sz w:val="16"/>
      <w:szCs w:val="16"/>
    </w:rPr>
  </w:style>
  <w:style w:type="character" w:customStyle="1" w:styleId="apple-converted-space">
    <w:name w:val="apple-converted-space"/>
    <w:basedOn w:val="DefaultParagraphFont"/>
    <w:rsid w:val="003402AD"/>
  </w:style>
  <w:style w:type="paragraph" w:styleId="ListParagraph">
    <w:name w:val="List Paragraph"/>
    <w:basedOn w:val="Normal"/>
    <w:uiPriority w:val="34"/>
    <w:qFormat/>
    <w:rsid w:val="003402AD"/>
    <w:pPr>
      <w:ind w:left="720"/>
      <w:contextualSpacing/>
    </w:pPr>
  </w:style>
  <w:style w:type="paragraph" w:customStyle="1" w:styleId="SNSynopsisTOC">
    <w:name w:val="SN_Synopsis_TOC"/>
    <w:basedOn w:val="Normal"/>
    <w:rsid w:val="007A4807"/>
    <w:pPr>
      <w:spacing w:after="200" w:line="480" w:lineRule="auto"/>
      <w:jc w:val="both"/>
    </w:pPr>
    <w:rPr>
      <w:rFonts w:ascii="Times" w:eastAsia="Times New Roman"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60195">
      <w:bodyDiv w:val="1"/>
      <w:marLeft w:val="0"/>
      <w:marRight w:val="0"/>
      <w:marTop w:val="0"/>
      <w:marBottom w:val="0"/>
      <w:divBdr>
        <w:top w:val="none" w:sz="0" w:space="0" w:color="auto"/>
        <w:left w:val="none" w:sz="0" w:space="0" w:color="auto"/>
        <w:bottom w:val="none" w:sz="0" w:space="0" w:color="auto"/>
        <w:right w:val="none" w:sz="0" w:space="0" w:color="auto"/>
      </w:divBdr>
    </w:div>
    <w:div w:id="875237327">
      <w:bodyDiv w:val="1"/>
      <w:marLeft w:val="0"/>
      <w:marRight w:val="0"/>
      <w:marTop w:val="0"/>
      <w:marBottom w:val="0"/>
      <w:divBdr>
        <w:top w:val="none" w:sz="0" w:space="0" w:color="auto"/>
        <w:left w:val="none" w:sz="0" w:space="0" w:color="auto"/>
        <w:bottom w:val="none" w:sz="0" w:space="0" w:color="auto"/>
        <w:right w:val="none" w:sz="0" w:space="0" w:color="auto"/>
      </w:divBdr>
    </w:div>
    <w:div w:id="1370377979">
      <w:bodyDiv w:val="1"/>
      <w:marLeft w:val="0"/>
      <w:marRight w:val="0"/>
      <w:marTop w:val="0"/>
      <w:marBottom w:val="0"/>
      <w:divBdr>
        <w:top w:val="none" w:sz="0" w:space="0" w:color="auto"/>
        <w:left w:val="none" w:sz="0" w:space="0" w:color="auto"/>
        <w:bottom w:val="none" w:sz="0" w:space="0" w:color="auto"/>
        <w:right w:val="none" w:sz="0" w:space="0" w:color="auto"/>
      </w:divBdr>
    </w:div>
    <w:div w:id="14864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huck@bath.ac.uk"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nas-evs1.campus.bath.ac.uk\ceVolumeCChuck\Project_Admin\Papers%20fellowship\HTL%20SAMD%20algae\Mine%20waste%20algae%20-%20results%20summary%20-%20updated.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onia\Documents\MRes\Research%20project%20S1-2\ICP-MS%20resul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nas-evs1.campus.bath.ac.uk\ceVolumeCChuck\EB-CH1244%20-%20HTL%20for%20algal%20biofuels\Mine%20waste%20algae%20-%20results%20summary%20-%20updated.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nas-evs1.campus.bath.ac.uk\ceVolumeCChuck\Project_Admin\Papers%20fellowship\HTL%20SAMD%20algae\Mine%20waste%20algae%20-%20results%20summary%20-%20updated.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nas-evs1.campus.bath.ac.uk\ceVolumeCChuck\Project_Admin\Papers%20fellowship\HTL%20SAMD%20algae\oliver%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nas-evs1.campus.bath.ac.uk\ceVolumeCChuck\Project_Admin\Papers%20fellowship\HTL%20SAMD%20algae\Mine%20waste%20algae%20-%20results%20summary%20-%20updated.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nas-evs1.campus.bath.ac.uk\ceVolumeCChuck\Project_Admin\Papers%20fellowship\HTL%20SAMD%20algae\Mine%20waste%20algae%20-%20results%20summary%20-%20updated.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nas-evs1.campus.bath.ac.uk\ceVolumeCChuck\Project_Admin\Papers%20fellowship\HTL%20SAMD%20algae\Mine%20waste%20algae%20-%20results%20summary%20-%20updated.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nas-evs1.campus.bath.ac.uk\ceVolumeCChuck\Project_Admin\Papers%20fellowship\HTL%20SAMD%20algae\Mine%20waste%20algae%20-%20results%20summary%20-%20updated.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nas-evs1.campus.bath.ac.uk\ceVolumeCChuck\Project_Admin\Papers%20fellowship\HTL%20SAMD%20algae\Mine%20waste%20algae%20-%20results%20summary%20-%20updated.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nas-evs1.campus.bath.ac.uk\ceVolumeCChuck\Project_Admin\Papers%20fellowship\HTL%20SAMD%20algae\Mine%20waste%20algae%20-%20results%20summary%20-%20updated.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nas-evs1.campus.bath.ac.uk\ceVolumeCChuck\Project_Admin\Papers%20fellowship\HTL%20SAMD%20algae\Mine%20waste%20algae%20-%20results%20summary%20-%20updated.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nas-evs1.campus.bath.ac.uk\ceVolumeCChuck\Project_Admin\Papers%20fellowship\HTL%20SAMD%20algae\Mine%20waste%20algae%20-%20results%20summary%20-%20updated%20(Autosav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18337066955509501"/>
          <c:y val="4.8589692239660899E-2"/>
          <c:w val="0.78344838985345699"/>
          <c:h val="0.59518020406226102"/>
        </c:manualLayout>
      </c:layout>
      <c:barChart>
        <c:barDir val="col"/>
        <c:grouping val="clustered"/>
        <c:varyColors val="0"/>
        <c:ser>
          <c:idx val="0"/>
          <c:order val="0"/>
          <c:tx>
            <c:v>310 °C</c:v>
          </c:tx>
          <c:spPr>
            <a:solidFill>
              <a:schemeClr val="tx1"/>
            </a:solidFill>
            <a:ln>
              <a:solidFill>
                <a:schemeClr val="tx1"/>
              </a:solidFill>
            </a:ln>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errBars>
            <c:errBarType val="both"/>
            <c:errValType val="cust"/>
            <c:noEndCap val="0"/>
            <c:plus>
              <c:numRef>
                <c:f>'Yields graphs with repeats'!$AY$25</c:f>
                <c:numCache>
                  <c:formatCode>General</c:formatCode>
                  <c:ptCount val="1"/>
                  <c:pt idx="0">
                    <c:v>0.30585690315772701</c:v>
                  </c:pt>
                </c:numCache>
              </c:numRef>
            </c:plus>
            <c:minus>
              <c:numRef>
                <c:f>'Yields graphs with repeats'!$AY$25</c:f>
                <c:numCache>
                  <c:formatCode>General</c:formatCode>
                  <c:ptCount val="1"/>
                  <c:pt idx="0">
                    <c:v>0.30585690315772701</c:v>
                  </c:pt>
                </c:numCache>
              </c:numRef>
            </c:minus>
          </c:errBars>
          <c:cat>
            <c:strRef>
              <c:f>'Yields graphs with repeats'!$B$27:$B$34</c:f>
              <c:strCache>
                <c:ptCount val="8"/>
                <c:pt idx="0">
                  <c:v>None</c:v>
                </c:pt>
                <c:pt idx="1">
                  <c:v>Pb</c:v>
                </c:pt>
                <c:pt idx="2">
                  <c:v>Sn</c:v>
                </c:pt>
                <c:pt idx="3">
                  <c:v>Mg Zn Fe (low uptake)</c:v>
                </c:pt>
                <c:pt idx="4">
                  <c:v>Mg Zn Fe (high uptake)</c:v>
                </c:pt>
                <c:pt idx="5">
                  <c:v>Mg</c:v>
                </c:pt>
                <c:pt idx="6">
                  <c:v>Zn</c:v>
                </c:pt>
                <c:pt idx="7">
                  <c:v>Fe</c:v>
                </c:pt>
              </c:strCache>
            </c:strRef>
          </c:cat>
          <c:val>
            <c:numRef>
              <c:f>('Yields graphs with repeats'!$AY$4,'Yields graphs with repeats'!$AY$6,'Yields graphs with repeats'!$AY$8,'Yields graphs with repeats'!$AY$10,'Yields graphs with repeats'!$AY$12,'Yields graphs with repeats'!$AY$14,'Yields graphs with repeats'!$AY$16,'Yields graphs with repeats'!$AY$18)</c:f>
              <c:numCache>
                <c:formatCode>0.000</c:formatCode>
                <c:ptCount val="8"/>
                <c:pt idx="0">
                  <c:v>35.911942869496428</c:v>
                </c:pt>
                <c:pt idx="1">
                  <c:v>32.372991138480003</c:v>
                </c:pt>
                <c:pt idx="2">
                  <c:v>36.497995991983899</c:v>
                </c:pt>
                <c:pt idx="3">
                  <c:v>37.453089817363008</c:v>
                </c:pt>
                <c:pt idx="4">
                  <c:v>44.629863044494051</c:v>
                </c:pt>
                <c:pt idx="5">
                  <c:v>42.803598200899494</c:v>
                </c:pt>
                <c:pt idx="6">
                  <c:v>35.480895666670492</c:v>
                </c:pt>
                <c:pt idx="7">
                  <c:v>36.83935295983823</c:v>
                </c:pt>
              </c:numCache>
            </c:numRef>
          </c:val>
        </c:ser>
        <c:ser>
          <c:idx val="1"/>
          <c:order val="1"/>
          <c:tx>
            <c:v>350 °C</c:v>
          </c:tx>
          <c:spPr>
            <a:noFill/>
            <a:ln>
              <a:solidFill>
                <a:schemeClr val="tx1"/>
              </a:solidFill>
            </a:ln>
          </c:spPr>
          <c:invertIfNegative val="0"/>
          <c:errBars>
            <c:errBarType val="both"/>
            <c:errValType val="cust"/>
            <c:noEndCap val="0"/>
            <c:plus>
              <c:numRef>
                <c:f>'Yields graphs with repeats'!$AY$25</c:f>
                <c:numCache>
                  <c:formatCode>General</c:formatCode>
                  <c:ptCount val="1"/>
                  <c:pt idx="0">
                    <c:v>0.30585690315772701</c:v>
                  </c:pt>
                </c:numCache>
              </c:numRef>
            </c:plus>
            <c:minus>
              <c:numRef>
                <c:f>'Yields graphs with repeats'!$AY$25</c:f>
                <c:numCache>
                  <c:formatCode>General</c:formatCode>
                  <c:ptCount val="1"/>
                  <c:pt idx="0">
                    <c:v>0.30585690315772701</c:v>
                  </c:pt>
                </c:numCache>
              </c:numRef>
            </c:minus>
          </c:errBars>
          <c:cat>
            <c:strRef>
              <c:f>'Yields graphs with repeats'!$B$27:$B$34</c:f>
              <c:strCache>
                <c:ptCount val="8"/>
                <c:pt idx="0">
                  <c:v>None</c:v>
                </c:pt>
                <c:pt idx="1">
                  <c:v>Pb</c:v>
                </c:pt>
                <c:pt idx="2">
                  <c:v>Sn</c:v>
                </c:pt>
                <c:pt idx="3">
                  <c:v>Mg Zn Fe (low uptake)</c:v>
                </c:pt>
                <c:pt idx="4">
                  <c:v>Mg Zn Fe (high uptake)</c:v>
                </c:pt>
                <c:pt idx="5">
                  <c:v>Mg</c:v>
                </c:pt>
                <c:pt idx="6">
                  <c:v>Zn</c:v>
                </c:pt>
                <c:pt idx="7">
                  <c:v>Fe</c:v>
                </c:pt>
              </c:strCache>
            </c:strRef>
          </c:cat>
          <c:val>
            <c:numRef>
              <c:f>('Yields graphs with repeats'!$AY$5,'Yields graphs with repeats'!$AY$7,'Yields graphs with repeats'!$AY$9,'Yields graphs with repeats'!$AY$11,'Yields graphs with repeats'!$AY$13,'Yields graphs with repeats'!$AY$15,'Yields graphs with repeats'!$AY$17,'Yields graphs with repeats'!$AY$19)</c:f>
              <c:numCache>
                <c:formatCode>0.000</c:formatCode>
                <c:ptCount val="8"/>
                <c:pt idx="0">
                  <c:v>32.163364086917682</c:v>
                </c:pt>
                <c:pt idx="1">
                  <c:v>34.444288276778352</c:v>
                </c:pt>
                <c:pt idx="2">
                  <c:v>37.243621810905474</c:v>
                </c:pt>
                <c:pt idx="3">
                  <c:v>32.299999999999962</c:v>
                </c:pt>
                <c:pt idx="4">
                  <c:v>40.92276475316303</c:v>
                </c:pt>
                <c:pt idx="5">
                  <c:v>42.32116058029014</c:v>
                </c:pt>
                <c:pt idx="6">
                  <c:v>38.532799198798237</c:v>
                </c:pt>
                <c:pt idx="7">
                  <c:v>35.956609956841497</c:v>
                </c:pt>
              </c:numCache>
            </c:numRef>
          </c:val>
        </c:ser>
        <c:dLbls>
          <c:showLegendKey val="0"/>
          <c:showVal val="0"/>
          <c:showCatName val="0"/>
          <c:showSerName val="0"/>
          <c:showPercent val="0"/>
          <c:showBubbleSize val="0"/>
        </c:dLbls>
        <c:gapWidth val="150"/>
        <c:axId val="135411088"/>
        <c:axId val="259325104"/>
      </c:barChart>
      <c:catAx>
        <c:axId val="135411088"/>
        <c:scaling>
          <c:orientation val="minMax"/>
        </c:scaling>
        <c:delete val="0"/>
        <c:axPos val="b"/>
        <c:numFmt formatCode="General" sourceLinked="1"/>
        <c:majorTickMark val="out"/>
        <c:minorTickMark val="none"/>
        <c:tickLblPos val="nextTo"/>
        <c:txPr>
          <a:bodyPr rot="-1980000" vert="horz"/>
          <a:lstStyle/>
          <a:p>
            <a:pPr>
              <a:defRPr/>
            </a:pPr>
            <a:endParaRPr lang="en-US"/>
          </a:p>
        </c:txPr>
        <c:crossAx val="259325104"/>
        <c:crosses val="autoZero"/>
        <c:auto val="0"/>
        <c:lblAlgn val="ctr"/>
        <c:lblOffset val="100"/>
        <c:noMultiLvlLbl val="0"/>
      </c:catAx>
      <c:valAx>
        <c:axId val="259325104"/>
        <c:scaling>
          <c:orientation val="minMax"/>
        </c:scaling>
        <c:delete val="0"/>
        <c:axPos val="l"/>
        <c:title>
          <c:tx>
            <c:rich>
              <a:bodyPr/>
              <a:lstStyle/>
              <a:p>
                <a:pPr>
                  <a:defRPr/>
                </a:pPr>
                <a:r>
                  <a:rPr lang="en-GB"/>
                  <a:t>Yield in</a:t>
                </a:r>
                <a:r>
                  <a:rPr lang="en-GB" baseline="0"/>
                  <a:t> comparison to origanal biomass</a:t>
                </a:r>
                <a:r>
                  <a:rPr lang="en-GB"/>
                  <a:t> (%)</a:t>
                </a:r>
              </a:p>
            </c:rich>
          </c:tx>
          <c:layout>
            <c:manualLayout>
              <c:xMode val="edge"/>
              <c:yMode val="edge"/>
              <c:x val="1.47105885993818E-3"/>
              <c:y val="3.6066464454589102E-2"/>
            </c:manualLayout>
          </c:layout>
          <c:overlay val="0"/>
        </c:title>
        <c:numFmt formatCode="General" sourceLinked="0"/>
        <c:majorTickMark val="out"/>
        <c:minorTickMark val="none"/>
        <c:tickLblPos val="nextTo"/>
        <c:txPr>
          <a:bodyPr rot="0" vert="horz"/>
          <a:lstStyle/>
          <a:p>
            <a:pPr>
              <a:defRPr/>
            </a:pPr>
            <a:endParaRPr lang="en-US"/>
          </a:p>
        </c:txPr>
        <c:crossAx val="135411088"/>
        <c:crosses val="autoZero"/>
        <c:crossBetween val="between"/>
      </c:valAx>
      <c:spPr>
        <a:noFill/>
      </c:spPr>
    </c:plotArea>
    <c:legend>
      <c:legendPos val="r"/>
      <c:layout>
        <c:manualLayout>
          <c:xMode val="edge"/>
          <c:yMode val="edge"/>
          <c:x val="0.182759982672069"/>
          <c:y val="3.4355251907311202E-2"/>
          <c:w val="0.32533063221466302"/>
          <c:h val="0.14656863475661799"/>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manualLayout>
          <c:layoutTarget val="inner"/>
          <c:xMode val="edge"/>
          <c:yMode val="edge"/>
          <c:x val="9.4773997527982504E-2"/>
          <c:y val="5.1311481017568703E-2"/>
          <c:w val="0.74078661368079501"/>
          <c:h val="0.68483265173248697"/>
        </c:manualLayout>
      </c:layout>
      <c:barChart>
        <c:barDir val="col"/>
        <c:grouping val="stacked"/>
        <c:varyColors val="0"/>
        <c:ser>
          <c:idx val="0"/>
          <c:order val="0"/>
          <c:tx>
            <c:v>% C</c:v>
          </c:tx>
          <c:spPr>
            <a:solidFill>
              <a:schemeClr val="tx1"/>
            </a:solidFill>
          </c:spPr>
          <c:invertIfNegative val="0"/>
          <c:cat>
            <c:multiLvlStrRef>
              <c:f>Graphs!$L$5:$M$14</c:f>
              <c:multiLvlStrCache>
                <c:ptCount val="10"/>
                <c:lvl>
                  <c:pt idx="0">
                    <c:v>310 °C</c:v>
                  </c:pt>
                  <c:pt idx="1">
                    <c:v>350 °C</c:v>
                  </c:pt>
                  <c:pt idx="2">
                    <c:v>310 °C</c:v>
                  </c:pt>
                  <c:pt idx="3">
                    <c:v>350 °C</c:v>
                  </c:pt>
                  <c:pt idx="4">
                    <c:v>310 °C</c:v>
                  </c:pt>
                  <c:pt idx="5">
                    <c:v>350 °C</c:v>
                  </c:pt>
                  <c:pt idx="6">
                    <c:v>310 °C</c:v>
                  </c:pt>
                  <c:pt idx="7">
                    <c:v>350 °C</c:v>
                  </c:pt>
                  <c:pt idx="8">
                    <c:v>310 °C</c:v>
                  </c:pt>
                  <c:pt idx="9">
                    <c:v>350 °C</c:v>
                  </c:pt>
                </c:lvl>
                <c:lvl>
                  <c:pt idx="0">
                    <c:v>None</c:v>
                  </c:pt>
                  <c:pt idx="2">
                    <c:v>Mg Zn Fe (2)</c:v>
                  </c:pt>
                  <c:pt idx="4">
                    <c:v>Mg</c:v>
                  </c:pt>
                  <c:pt idx="6">
                    <c:v>Zn</c:v>
                  </c:pt>
                  <c:pt idx="8">
                    <c:v>Fe</c:v>
                  </c:pt>
                </c:lvl>
              </c:multiLvlStrCache>
            </c:multiLvlStrRef>
          </c:cat>
          <c:val>
            <c:numRef>
              <c:f>Graphs!$N$5:$N$14</c:f>
              <c:numCache>
                <c:formatCode>0.00</c:formatCode>
                <c:ptCount val="10"/>
                <c:pt idx="0">
                  <c:v>9.3350000000000026</c:v>
                </c:pt>
                <c:pt idx="1">
                  <c:v>6.4349999999999996</c:v>
                </c:pt>
                <c:pt idx="2">
                  <c:v>9.2000000000000011</c:v>
                </c:pt>
                <c:pt idx="3">
                  <c:v>4.34</c:v>
                </c:pt>
                <c:pt idx="4">
                  <c:v>10.61</c:v>
                </c:pt>
                <c:pt idx="5">
                  <c:v>11.79</c:v>
                </c:pt>
                <c:pt idx="6">
                  <c:v>8.9049999999999994</c:v>
                </c:pt>
                <c:pt idx="7">
                  <c:v>9.9</c:v>
                </c:pt>
                <c:pt idx="8">
                  <c:v>10.73</c:v>
                </c:pt>
                <c:pt idx="9">
                  <c:v>3.4550000000000001</c:v>
                </c:pt>
              </c:numCache>
            </c:numRef>
          </c:val>
        </c:ser>
        <c:ser>
          <c:idx val="1"/>
          <c:order val="1"/>
          <c:tx>
            <c:v>% H</c:v>
          </c:tx>
          <c:spPr>
            <a:solidFill>
              <a:schemeClr val="bg1"/>
            </a:solidFill>
          </c:spPr>
          <c:invertIfNegative val="0"/>
          <c:cat>
            <c:multiLvlStrRef>
              <c:f>Graphs!$L$5:$M$14</c:f>
              <c:multiLvlStrCache>
                <c:ptCount val="10"/>
                <c:lvl>
                  <c:pt idx="0">
                    <c:v>310 °C</c:v>
                  </c:pt>
                  <c:pt idx="1">
                    <c:v>350 °C</c:v>
                  </c:pt>
                  <c:pt idx="2">
                    <c:v>310 °C</c:v>
                  </c:pt>
                  <c:pt idx="3">
                    <c:v>350 °C</c:v>
                  </c:pt>
                  <c:pt idx="4">
                    <c:v>310 °C</c:v>
                  </c:pt>
                  <c:pt idx="5">
                    <c:v>350 °C</c:v>
                  </c:pt>
                  <c:pt idx="6">
                    <c:v>310 °C</c:v>
                  </c:pt>
                  <c:pt idx="7">
                    <c:v>350 °C</c:v>
                  </c:pt>
                  <c:pt idx="8">
                    <c:v>310 °C</c:v>
                  </c:pt>
                  <c:pt idx="9">
                    <c:v>350 °C</c:v>
                  </c:pt>
                </c:lvl>
                <c:lvl>
                  <c:pt idx="0">
                    <c:v>None</c:v>
                  </c:pt>
                  <c:pt idx="2">
                    <c:v>Mg Zn Fe (2)</c:v>
                  </c:pt>
                  <c:pt idx="4">
                    <c:v>Mg</c:v>
                  </c:pt>
                  <c:pt idx="6">
                    <c:v>Zn</c:v>
                  </c:pt>
                  <c:pt idx="8">
                    <c:v>Fe</c:v>
                  </c:pt>
                </c:lvl>
              </c:multiLvlStrCache>
            </c:multiLvlStrRef>
          </c:cat>
          <c:val>
            <c:numRef>
              <c:f>Graphs!$O$5:$O$14</c:f>
              <c:numCache>
                <c:formatCode>0.00</c:formatCode>
                <c:ptCount val="10"/>
                <c:pt idx="0">
                  <c:v>1.115</c:v>
                </c:pt>
                <c:pt idx="1">
                  <c:v>0.69</c:v>
                </c:pt>
                <c:pt idx="2">
                  <c:v>2.0249999999999999</c:v>
                </c:pt>
                <c:pt idx="3">
                  <c:v>1.35</c:v>
                </c:pt>
                <c:pt idx="4">
                  <c:v>1.65</c:v>
                </c:pt>
                <c:pt idx="5">
                  <c:v>1.8</c:v>
                </c:pt>
                <c:pt idx="6">
                  <c:v>1.36</c:v>
                </c:pt>
                <c:pt idx="7">
                  <c:v>1.29</c:v>
                </c:pt>
                <c:pt idx="8">
                  <c:v>1.74</c:v>
                </c:pt>
                <c:pt idx="9">
                  <c:v>0.89</c:v>
                </c:pt>
              </c:numCache>
            </c:numRef>
          </c:val>
        </c:ser>
        <c:ser>
          <c:idx val="2"/>
          <c:order val="2"/>
          <c:tx>
            <c:v>% N</c:v>
          </c:tx>
          <c:spPr>
            <a:solidFill>
              <a:schemeClr val="accent1"/>
            </a:solidFill>
          </c:spPr>
          <c:invertIfNegative val="0"/>
          <c:cat>
            <c:multiLvlStrRef>
              <c:f>Graphs!$L$5:$M$14</c:f>
              <c:multiLvlStrCache>
                <c:ptCount val="10"/>
                <c:lvl>
                  <c:pt idx="0">
                    <c:v>310 °C</c:v>
                  </c:pt>
                  <c:pt idx="1">
                    <c:v>350 °C</c:v>
                  </c:pt>
                  <c:pt idx="2">
                    <c:v>310 °C</c:v>
                  </c:pt>
                  <c:pt idx="3">
                    <c:v>350 °C</c:v>
                  </c:pt>
                  <c:pt idx="4">
                    <c:v>310 °C</c:v>
                  </c:pt>
                  <c:pt idx="5">
                    <c:v>350 °C</c:v>
                  </c:pt>
                  <c:pt idx="6">
                    <c:v>310 °C</c:v>
                  </c:pt>
                  <c:pt idx="7">
                    <c:v>350 °C</c:v>
                  </c:pt>
                  <c:pt idx="8">
                    <c:v>310 °C</c:v>
                  </c:pt>
                  <c:pt idx="9">
                    <c:v>350 °C</c:v>
                  </c:pt>
                </c:lvl>
                <c:lvl>
                  <c:pt idx="0">
                    <c:v>None</c:v>
                  </c:pt>
                  <c:pt idx="2">
                    <c:v>Mg Zn Fe (2)</c:v>
                  </c:pt>
                  <c:pt idx="4">
                    <c:v>Mg</c:v>
                  </c:pt>
                  <c:pt idx="6">
                    <c:v>Zn</c:v>
                  </c:pt>
                  <c:pt idx="8">
                    <c:v>Fe</c:v>
                  </c:pt>
                </c:lvl>
              </c:multiLvlStrCache>
            </c:multiLvlStrRef>
          </c:cat>
          <c:val>
            <c:numRef>
              <c:f>Graphs!$P$5:$P$14</c:f>
              <c:numCache>
                <c:formatCode>0.00</c:formatCode>
                <c:ptCount val="10"/>
                <c:pt idx="0">
                  <c:v>1.7749999999999999</c:v>
                </c:pt>
                <c:pt idx="1">
                  <c:v>1.325</c:v>
                </c:pt>
                <c:pt idx="2">
                  <c:v>2.9449999999999998</c:v>
                </c:pt>
                <c:pt idx="3">
                  <c:v>1.79</c:v>
                </c:pt>
                <c:pt idx="4">
                  <c:v>2.0249999999999999</c:v>
                </c:pt>
                <c:pt idx="5">
                  <c:v>1.64</c:v>
                </c:pt>
                <c:pt idx="6">
                  <c:v>2.8450000000000002</c:v>
                </c:pt>
                <c:pt idx="7">
                  <c:v>2.3549999999999991</c:v>
                </c:pt>
                <c:pt idx="8">
                  <c:v>3.16</c:v>
                </c:pt>
                <c:pt idx="9">
                  <c:v>1.2150000000000001</c:v>
                </c:pt>
              </c:numCache>
            </c:numRef>
          </c:val>
        </c:ser>
        <c:ser>
          <c:idx val="4"/>
          <c:order val="3"/>
          <c:tx>
            <c:v>% P</c:v>
          </c:tx>
          <c:spPr>
            <a:solidFill>
              <a:schemeClr val="accent6"/>
            </a:solidFill>
          </c:spPr>
          <c:invertIfNegative val="0"/>
          <c:cat>
            <c:multiLvlStrRef>
              <c:f>Graphs!$L$5:$M$14</c:f>
              <c:multiLvlStrCache>
                <c:ptCount val="10"/>
                <c:lvl>
                  <c:pt idx="0">
                    <c:v>310 °C</c:v>
                  </c:pt>
                  <c:pt idx="1">
                    <c:v>350 °C</c:v>
                  </c:pt>
                  <c:pt idx="2">
                    <c:v>310 °C</c:v>
                  </c:pt>
                  <c:pt idx="3">
                    <c:v>350 °C</c:v>
                  </c:pt>
                  <c:pt idx="4">
                    <c:v>310 °C</c:v>
                  </c:pt>
                  <c:pt idx="5">
                    <c:v>350 °C</c:v>
                  </c:pt>
                  <c:pt idx="6">
                    <c:v>310 °C</c:v>
                  </c:pt>
                  <c:pt idx="7">
                    <c:v>350 °C</c:v>
                  </c:pt>
                  <c:pt idx="8">
                    <c:v>310 °C</c:v>
                  </c:pt>
                  <c:pt idx="9">
                    <c:v>350 °C</c:v>
                  </c:pt>
                </c:lvl>
                <c:lvl>
                  <c:pt idx="0">
                    <c:v>None</c:v>
                  </c:pt>
                  <c:pt idx="2">
                    <c:v>Mg Zn Fe (2)</c:v>
                  </c:pt>
                  <c:pt idx="4">
                    <c:v>Mg</c:v>
                  </c:pt>
                  <c:pt idx="6">
                    <c:v>Zn</c:v>
                  </c:pt>
                  <c:pt idx="8">
                    <c:v>Fe</c:v>
                  </c:pt>
                </c:lvl>
              </c:multiLvlStrCache>
            </c:multiLvlStrRef>
          </c:cat>
          <c:val>
            <c:numRef>
              <c:f>Graphs!$R$5:$R$14</c:f>
              <c:numCache>
                <c:formatCode>0.00</c:formatCode>
                <c:ptCount val="10"/>
                <c:pt idx="0">
                  <c:v>17.654154181176501</c:v>
                </c:pt>
                <c:pt idx="1">
                  <c:v>17.825547297224599</c:v>
                </c:pt>
                <c:pt idx="2">
                  <c:v>7.0244205368888784</c:v>
                </c:pt>
                <c:pt idx="3">
                  <c:v>8.1002218039033789</c:v>
                </c:pt>
                <c:pt idx="4">
                  <c:v>16.905188827077801</c:v>
                </c:pt>
                <c:pt idx="5">
                  <c:v>12.568081743730099</c:v>
                </c:pt>
                <c:pt idx="6">
                  <c:v>15.2753914725083</c:v>
                </c:pt>
                <c:pt idx="7">
                  <c:v>15.1280610981037</c:v>
                </c:pt>
                <c:pt idx="8">
                  <c:v>9.35214213881879</c:v>
                </c:pt>
                <c:pt idx="9">
                  <c:v>11.091585250298399</c:v>
                </c:pt>
              </c:numCache>
            </c:numRef>
          </c:val>
        </c:ser>
        <c:ser>
          <c:idx val="3"/>
          <c:order val="4"/>
          <c:tx>
            <c:v>% Mg</c:v>
          </c:tx>
          <c:invertIfNegative val="0"/>
          <c:cat>
            <c:multiLvlStrRef>
              <c:f>Graphs!$L$5:$M$14</c:f>
              <c:multiLvlStrCache>
                <c:ptCount val="10"/>
                <c:lvl>
                  <c:pt idx="0">
                    <c:v>310 °C</c:v>
                  </c:pt>
                  <c:pt idx="1">
                    <c:v>350 °C</c:v>
                  </c:pt>
                  <c:pt idx="2">
                    <c:v>310 °C</c:v>
                  </c:pt>
                  <c:pt idx="3">
                    <c:v>350 °C</c:v>
                  </c:pt>
                  <c:pt idx="4">
                    <c:v>310 °C</c:v>
                  </c:pt>
                  <c:pt idx="5">
                    <c:v>350 °C</c:v>
                  </c:pt>
                  <c:pt idx="6">
                    <c:v>310 °C</c:v>
                  </c:pt>
                  <c:pt idx="7">
                    <c:v>350 °C</c:v>
                  </c:pt>
                  <c:pt idx="8">
                    <c:v>310 °C</c:v>
                  </c:pt>
                  <c:pt idx="9">
                    <c:v>350 °C</c:v>
                  </c:pt>
                </c:lvl>
                <c:lvl>
                  <c:pt idx="0">
                    <c:v>None</c:v>
                  </c:pt>
                  <c:pt idx="2">
                    <c:v>Mg Zn Fe (2)</c:v>
                  </c:pt>
                  <c:pt idx="4">
                    <c:v>Mg</c:v>
                  </c:pt>
                  <c:pt idx="6">
                    <c:v>Zn</c:v>
                  </c:pt>
                  <c:pt idx="8">
                    <c:v>Fe</c:v>
                  </c:pt>
                </c:lvl>
              </c:multiLvlStrCache>
            </c:multiLvlStrRef>
          </c:cat>
          <c:val>
            <c:numRef>
              <c:f>Graphs!$Q$5:$Q$14</c:f>
              <c:numCache>
                <c:formatCode>0.00</c:formatCode>
                <c:ptCount val="10"/>
                <c:pt idx="0">
                  <c:v>6.2810958190704893</c:v>
                </c:pt>
                <c:pt idx="1">
                  <c:v>6.6637532965889577</c:v>
                </c:pt>
                <c:pt idx="2">
                  <c:v>1.98018473518354</c:v>
                </c:pt>
                <c:pt idx="3">
                  <c:v>2.0534671241633902</c:v>
                </c:pt>
                <c:pt idx="4">
                  <c:v>12.442281230991</c:v>
                </c:pt>
                <c:pt idx="5">
                  <c:v>8.8082361468938188</c:v>
                </c:pt>
                <c:pt idx="6">
                  <c:v>3.0012305051363999</c:v>
                </c:pt>
                <c:pt idx="7">
                  <c:v>2.9718367109759201</c:v>
                </c:pt>
                <c:pt idx="8">
                  <c:v>1.27126098224597</c:v>
                </c:pt>
                <c:pt idx="9">
                  <c:v>1.1159740299013801</c:v>
                </c:pt>
              </c:numCache>
            </c:numRef>
          </c:val>
        </c:ser>
        <c:ser>
          <c:idx val="5"/>
          <c:order val="5"/>
          <c:tx>
            <c:v>% Fe</c:v>
          </c:tx>
          <c:spPr>
            <a:solidFill>
              <a:schemeClr val="accent2"/>
            </a:solidFill>
          </c:spPr>
          <c:invertIfNegative val="0"/>
          <c:cat>
            <c:multiLvlStrRef>
              <c:f>Graphs!$L$5:$M$14</c:f>
              <c:multiLvlStrCache>
                <c:ptCount val="10"/>
                <c:lvl>
                  <c:pt idx="0">
                    <c:v>310 °C</c:v>
                  </c:pt>
                  <c:pt idx="1">
                    <c:v>350 °C</c:v>
                  </c:pt>
                  <c:pt idx="2">
                    <c:v>310 °C</c:v>
                  </c:pt>
                  <c:pt idx="3">
                    <c:v>350 °C</c:v>
                  </c:pt>
                  <c:pt idx="4">
                    <c:v>310 °C</c:v>
                  </c:pt>
                  <c:pt idx="5">
                    <c:v>350 °C</c:v>
                  </c:pt>
                  <c:pt idx="6">
                    <c:v>310 °C</c:v>
                  </c:pt>
                  <c:pt idx="7">
                    <c:v>350 °C</c:v>
                  </c:pt>
                  <c:pt idx="8">
                    <c:v>310 °C</c:v>
                  </c:pt>
                  <c:pt idx="9">
                    <c:v>350 °C</c:v>
                  </c:pt>
                </c:lvl>
                <c:lvl>
                  <c:pt idx="0">
                    <c:v>None</c:v>
                  </c:pt>
                  <c:pt idx="2">
                    <c:v>Mg Zn Fe (2)</c:v>
                  </c:pt>
                  <c:pt idx="4">
                    <c:v>Mg</c:v>
                  </c:pt>
                  <c:pt idx="6">
                    <c:v>Zn</c:v>
                  </c:pt>
                  <c:pt idx="8">
                    <c:v>Fe</c:v>
                  </c:pt>
                </c:lvl>
              </c:multiLvlStrCache>
            </c:multiLvlStrRef>
          </c:cat>
          <c:val>
            <c:numRef>
              <c:f>Graphs!$S$5:$S$14</c:f>
              <c:numCache>
                <c:formatCode>0.00</c:formatCode>
                <c:ptCount val="10"/>
                <c:pt idx="0">
                  <c:v>1.5901649036474099</c:v>
                </c:pt>
                <c:pt idx="1">
                  <c:v>1.7530984425609599</c:v>
                </c:pt>
                <c:pt idx="2">
                  <c:v>21.829625125362099</c:v>
                </c:pt>
                <c:pt idx="3">
                  <c:v>27.324060824351509</c:v>
                </c:pt>
                <c:pt idx="4">
                  <c:v>1.46791374822996</c:v>
                </c:pt>
                <c:pt idx="5">
                  <c:v>1.0975268122528199</c:v>
                </c:pt>
                <c:pt idx="6">
                  <c:v>1.8047811806849099</c:v>
                </c:pt>
                <c:pt idx="7">
                  <c:v>2.1874589142129</c:v>
                </c:pt>
                <c:pt idx="8">
                  <c:v>31.08392099810019</c:v>
                </c:pt>
                <c:pt idx="9">
                  <c:v>38.386052368407498</c:v>
                </c:pt>
              </c:numCache>
            </c:numRef>
          </c:val>
        </c:ser>
        <c:ser>
          <c:idx val="6"/>
          <c:order val="6"/>
          <c:tx>
            <c:v>% Zn</c:v>
          </c:tx>
          <c:spPr>
            <a:solidFill>
              <a:schemeClr val="bg2">
                <a:lumMod val="75000"/>
              </a:schemeClr>
            </a:solidFill>
          </c:spPr>
          <c:invertIfNegative val="0"/>
          <c:cat>
            <c:multiLvlStrRef>
              <c:f>Graphs!$L$5:$M$14</c:f>
              <c:multiLvlStrCache>
                <c:ptCount val="10"/>
                <c:lvl>
                  <c:pt idx="0">
                    <c:v>310 °C</c:v>
                  </c:pt>
                  <c:pt idx="1">
                    <c:v>350 °C</c:v>
                  </c:pt>
                  <c:pt idx="2">
                    <c:v>310 °C</c:v>
                  </c:pt>
                  <c:pt idx="3">
                    <c:v>350 °C</c:v>
                  </c:pt>
                  <c:pt idx="4">
                    <c:v>310 °C</c:v>
                  </c:pt>
                  <c:pt idx="5">
                    <c:v>350 °C</c:v>
                  </c:pt>
                  <c:pt idx="6">
                    <c:v>310 °C</c:v>
                  </c:pt>
                  <c:pt idx="7">
                    <c:v>350 °C</c:v>
                  </c:pt>
                  <c:pt idx="8">
                    <c:v>310 °C</c:v>
                  </c:pt>
                  <c:pt idx="9">
                    <c:v>350 °C</c:v>
                  </c:pt>
                </c:lvl>
                <c:lvl>
                  <c:pt idx="0">
                    <c:v>None</c:v>
                  </c:pt>
                  <c:pt idx="2">
                    <c:v>Mg Zn Fe (2)</c:v>
                  </c:pt>
                  <c:pt idx="4">
                    <c:v>Mg</c:v>
                  </c:pt>
                  <c:pt idx="6">
                    <c:v>Zn</c:v>
                  </c:pt>
                  <c:pt idx="8">
                    <c:v>Fe</c:v>
                  </c:pt>
                </c:lvl>
              </c:multiLvlStrCache>
            </c:multiLvlStrRef>
          </c:cat>
          <c:val>
            <c:numRef>
              <c:f>Graphs!$T$5:$T$14</c:f>
              <c:numCache>
                <c:formatCode>0.00</c:formatCode>
                <c:ptCount val="10"/>
                <c:pt idx="0">
                  <c:v>2.9991736976606499E-2</c:v>
                </c:pt>
                <c:pt idx="1">
                  <c:v>2.73400265458596E-2</c:v>
                </c:pt>
                <c:pt idx="2">
                  <c:v>6.8168697099375306</c:v>
                </c:pt>
                <c:pt idx="3">
                  <c:v>10.0189818414252</c:v>
                </c:pt>
                <c:pt idx="4">
                  <c:v>2.4728299231969099E-2</c:v>
                </c:pt>
                <c:pt idx="5">
                  <c:v>3.1907016107286697E-2</c:v>
                </c:pt>
                <c:pt idx="6">
                  <c:v>23.834713092161699</c:v>
                </c:pt>
                <c:pt idx="7">
                  <c:v>24.4820483396127</c:v>
                </c:pt>
                <c:pt idx="8">
                  <c:v>1.7516618583064102E-2</c:v>
                </c:pt>
                <c:pt idx="9">
                  <c:v>8.5724969255430897E-2</c:v>
                </c:pt>
              </c:numCache>
            </c:numRef>
          </c:val>
        </c:ser>
        <c:ser>
          <c:idx val="7"/>
          <c:order val="7"/>
          <c:tx>
            <c:v>% other</c:v>
          </c:tx>
          <c:spPr>
            <a:solidFill>
              <a:srgbClr val="C00000"/>
            </a:solidFill>
            <a:ln>
              <a:solidFill>
                <a:schemeClr val="tx1"/>
              </a:solidFill>
            </a:ln>
          </c:spPr>
          <c:invertIfNegative val="0"/>
          <c:cat>
            <c:multiLvlStrRef>
              <c:f>Graphs!$L$5:$M$14</c:f>
              <c:multiLvlStrCache>
                <c:ptCount val="10"/>
                <c:lvl>
                  <c:pt idx="0">
                    <c:v>310 °C</c:v>
                  </c:pt>
                  <c:pt idx="1">
                    <c:v>350 °C</c:v>
                  </c:pt>
                  <c:pt idx="2">
                    <c:v>310 °C</c:v>
                  </c:pt>
                  <c:pt idx="3">
                    <c:v>350 °C</c:v>
                  </c:pt>
                  <c:pt idx="4">
                    <c:v>310 °C</c:v>
                  </c:pt>
                  <c:pt idx="5">
                    <c:v>350 °C</c:v>
                  </c:pt>
                  <c:pt idx="6">
                    <c:v>310 °C</c:v>
                  </c:pt>
                  <c:pt idx="7">
                    <c:v>350 °C</c:v>
                  </c:pt>
                  <c:pt idx="8">
                    <c:v>310 °C</c:v>
                  </c:pt>
                  <c:pt idx="9">
                    <c:v>350 °C</c:v>
                  </c:pt>
                </c:lvl>
                <c:lvl>
                  <c:pt idx="0">
                    <c:v>None</c:v>
                  </c:pt>
                  <c:pt idx="2">
                    <c:v>Mg Zn Fe (2)</c:v>
                  </c:pt>
                  <c:pt idx="4">
                    <c:v>Mg</c:v>
                  </c:pt>
                  <c:pt idx="6">
                    <c:v>Zn</c:v>
                  </c:pt>
                  <c:pt idx="8">
                    <c:v>Fe</c:v>
                  </c:pt>
                </c:lvl>
              </c:multiLvlStrCache>
            </c:multiLvlStrRef>
          </c:cat>
          <c:val>
            <c:numRef>
              <c:f>Graphs!$W$5:$W$14</c:f>
              <c:numCache>
                <c:formatCode>0.00</c:formatCode>
                <c:ptCount val="10"/>
                <c:pt idx="0">
                  <c:v>62.219593359129</c:v>
                </c:pt>
                <c:pt idx="1">
                  <c:v>65.280260937079632</c:v>
                </c:pt>
                <c:pt idx="2">
                  <c:v>48.178899892627953</c:v>
                </c:pt>
                <c:pt idx="3">
                  <c:v>45.023268406156532</c:v>
                </c:pt>
                <c:pt idx="4">
                  <c:v>54.874887894469254</c:v>
                </c:pt>
                <c:pt idx="5">
                  <c:v>62.264248281015973</c:v>
                </c:pt>
                <c:pt idx="6">
                  <c:v>42.97388374950868</c:v>
                </c:pt>
                <c:pt idx="7">
                  <c:v>41.685594937094777</c:v>
                </c:pt>
                <c:pt idx="8">
                  <c:v>42.645159262251973</c:v>
                </c:pt>
                <c:pt idx="9">
                  <c:v>43.760663382137302</c:v>
                </c:pt>
              </c:numCache>
            </c:numRef>
          </c:val>
        </c:ser>
        <c:dLbls>
          <c:showLegendKey val="0"/>
          <c:showVal val="0"/>
          <c:showCatName val="0"/>
          <c:showSerName val="0"/>
          <c:showPercent val="0"/>
          <c:showBubbleSize val="0"/>
        </c:dLbls>
        <c:gapWidth val="150"/>
        <c:overlap val="100"/>
        <c:axId val="259893208"/>
        <c:axId val="259893600"/>
      </c:barChart>
      <c:catAx>
        <c:axId val="259893208"/>
        <c:scaling>
          <c:orientation val="minMax"/>
        </c:scaling>
        <c:delete val="0"/>
        <c:axPos val="b"/>
        <c:title>
          <c:tx>
            <c:rich>
              <a:bodyPr/>
              <a:lstStyle/>
              <a:p>
                <a:pPr>
                  <a:defRPr/>
                </a:pPr>
                <a:r>
                  <a:rPr lang="en-GB"/>
                  <a:t>Additive</a:t>
                </a:r>
              </a:p>
            </c:rich>
          </c:tx>
          <c:layout/>
          <c:overlay val="0"/>
        </c:title>
        <c:numFmt formatCode="General" sourceLinked="0"/>
        <c:majorTickMark val="out"/>
        <c:minorTickMark val="none"/>
        <c:tickLblPos val="nextTo"/>
        <c:crossAx val="259893600"/>
        <c:crosses val="autoZero"/>
        <c:auto val="1"/>
        <c:lblAlgn val="ctr"/>
        <c:lblOffset val="100"/>
        <c:noMultiLvlLbl val="0"/>
      </c:catAx>
      <c:valAx>
        <c:axId val="259893600"/>
        <c:scaling>
          <c:orientation val="minMax"/>
          <c:max val="100"/>
        </c:scaling>
        <c:delete val="0"/>
        <c:axPos val="l"/>
        <c:majorGridlines/>
        <c:title>
          <c:tx>
            <c:rich>
              <a:bodyPr rot="0" vert="wordArtVert"/>
              <a:lstStyle/>
              <a:p>
                <a:pPr>
                  <a:defRPr/>
                </a:pPr>
                <a:r>
                  <a:rPr lang="en-US"/>
                  <a:t>%</a:t>
                </a:r>
              </a:p>
            </c:rich>
          </c:tx>
          <c:layout>
            <c:manualLayout>
              <c:xMode val="edge"/>
              <c:yMode val="edge"/>
              <c:x val="0"/>
              <c:y val="0.38275965970417303"/>
            </c:manualLayout>
          </c:layout>
          <c:overlay val="0"/>
        </c:title>
        <c:numFmt formatCode="0" sourceLinked="0"/>
        <c:majorTickMark val="out"/>
        <c:minorTickMark val="none"/>
        <c:tickLblPos val="nextTo"/>
        <c:crossAx val="259893208"/>
        <c:crosses val="autoZero"/>
        <c:crossBetween val="between"/>
        <c:majorUnit val="20"/>
      </c:valAx>
      <c:spPr>
        <a:solidFill>
          <a:schemeClr val="bg1"/>
        </a:solidFill>
      </c:spPr>
    </c:plotArea>
    <c:legend>
      <c:legendPos val="r"/>
      <c:layout/>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165189043196309"/>
          <c:y val="5.2083773888453498E-2"/>
          <c:w val="0.66245757913579295"/>
          <c:h val="0.72473162418678705"/>
        </c:manualLayout>
      </c:layout>
      <c:barChart>
        <c:barDir val="col"/>
        <c:grouping val="stacked"/>
        <c:varyColors val="0"/>
        <c:ser>
          <c:idx val="0"/>
          <c:order val="0"/>
          <c:tx>
            <c:v>Gas</c:v>
          </c:tx>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'Yields graphs with repeats'!$B$20:$B$22</c:f>
              <c:strCache>
                <c:ptCount val="3"/>
                <c:pt idx="0">
                  <c:v>Spirulina</c:v>
                </c:pt>
                <c:pt idx="1">
                  <c:v>AMD 1</c:v>
                </c:pt>
                <c:pt idx="2">
                  <c:v>AMD 2</c:v>
                </c:pt>
              </c:strCache>
            </c:strRef>
          </c:cat>
          <c:val>
            <c:numRef>
              <c:f>('Yields graphs with repeats'!$AK$4,'Yields graphs with repeats'!$AK$21:$AK$22)</c:f>
              <c:numCache>
                <c:formatCode>0.00</c:formatCode>
                <c:ptCount val="3"/>
                <c:pt idx="0">
                  <c:v>9.8200611606288195</c:v>
                </c:pt>
                <c:pt idx="1">
                  <c:v>10.583318456785561</c:v>
                </c:pt>
                <c:pt idx="2">
                  <c:v>9.4986120749479532</c:v>
                </c:pt>
              </c:numCache>
            </c:numRef>
          </c:val>
        </c:ser>
        <c:ser>
          <c:idx val="1"/>
          <c:order val="1"/>
          <c:tx>
            <c:v>Residue in AP</c:v>
          </c:tx>
          <c:spPr>
            <a:solidFill>
              <a:schemeClr val="bg1"/>
            </a:solidFill>
            <a:ln>
              <a:solidFill>
                <a:schemeClr val="tx1"/>
              </a:solid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'Yields graphs with repeats'!$B$20:$B$22</c:f>
              <c:strCache>
                <c:ptCount val="3"/>
                <c:pt idx="0">
                  <c:v>Spirulina</c:v>
                </c:pt>
                <c:pt idx="1">
                  <c:v>AMD 1</c:v>
                </c:pt>
                <c:pt idx="2">
                  <c:v>AMD 2</c:v>
                </c:pt>
              </c:strCache>
            </c:strRef>
          </c:cat>
          <c:val>
            <c:numRef>
              <c:f>('Yields graphs with repeats'!$AU$4,'Yields graphs with repeats'!$AU$21:$AU$22)</c:f>
              <c:numCache>
                <c:formatCode>0.00</c:formatCode>
                <c:ptCount val="3"/>
                <c:pt idx="0">
                  <c:v>31.301538651988739</c:v>
                </c:pt>
                <c:pt idx="1">
                  <c:v>28.965179619210311</c:v>
                </c:pt>
                <c:pt idx="2">
                  <c:v>4.5599442975290314</c:v>
                </c:pt>
              </c:numCache>
            </c:numRef>
          </c:val>
        </c:ser>
        <c:ser>
          <c:idx val="2"/>
          <c:order val="2"/>
          <c:tx>
            <c:v>Bio-oil</c:v>
          </c:tx>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'Yields graphs with repeats'!$B$20:$B$22</c:f>
              <c:strCache>
                <c:ptCount val="3"/>
                <c:pt idx="0">
                  <c:v>Spirulina</c:v>
                </c:pt>
                <c:pt idx="1">
                  <c:v>AMD 1</c:v>
                </c:pt>
                <c:pt idx="2">
                  <c:v>AMD 2</c:v>
                </c:pt>
              </c:strCache>
            </c:strRef>
          </c:cat>
          <c:val>
            <c:numRef>
              <c:f>('Yields graphs with repeats'!$AY$4,'Yields graphs with repeats'!$AY$21:$AY$22)</c:f>
              <c:numCache>
                <c:formatCode>0.000</c:formatCode>
                <c:ptCount val="3"/>
                <c:pt idx="0">
                  <c:v>35.911942869496428</c:v>
                </c:pt>
                <c:pt idx="1">
                  <c:v>45.724285318375102</c:v>
                </c:pt>
                <c:pt idx="2">
                  <c:v>8.8827203331020197</c:v>
                </c:pt>
              </c:numCache>
            </c:numRef>
          </c:val>
        </c:ser>
        <c:ser>
          <c:idx val="3"/>
          <c:order val="3"/>
          <c:tx>
            <c:v>Solid residue</c:v>
          </c:tx>
          <c:spPr>
            <a:solidFill>
              <a:schemeClr val="dk1"/>
            </a:solidFill>
            <a:ln>
              <a:solidFill>
                <a:schemeClr val="tx1"/>
              </a:solidFill>
            </a:ln>
          </c:spPr>
          <c:invertIfNegative val="0"/>
          <c:dLbls>
            <c:numFmt formatCode="#,##0" sourceLinked="0"/>
            <c:spPr>
              <a:noFill/>
              <a:ln>
                <a:noFill/>
              </a:ln>
              <a:effectLst/>
            </c:spPr>
            <c:txPr>
              <a:bodyPr wrap="square" lIns="38100" tIns="19050" rIns="38100" bIns="19050" anchor="ctr">
                <a:spAutoFit/>
              </a:bodyPr>
              <a:lstStyle/>
              <a:p>
                <a:pPr>
                  <a:defRPr>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'Yields graphs with repeats'!$B$20:$B$22</c:f>
              <c:strCache>
                <c:ptCount val="3"/>
                <c:pt idx="0">
                  <c:v>Spirulina</c:v>
                </c:pt>
                <c:pt idx="1">
                  <c:v>AMD 1</c:v>
                </c:pt>
                <c:pt idx="2">
                  <c:v>AMD 2</c:v>
                </c:pt>
              </c:strCache>
            </c:strRef>
          </c:cat>
          <c:val>
            <c:numRef>
              <c:f>('Yields graphs with repeats'!$BC$4,'Yields graphs with repeats'!$BC$21:$BC$22)</c:f>
              <c:numCache>
                <c:formatCode>0.00</c:formatCode>
                <c:ptCount val="3"/>
                <c:pt idx="0">
                  <c:v>10.31259751953735</c:v>
                </c:pt>
                <c:pt idx="1">
                  <c:v>10.849400399988371</c:v>
                </c:pt>
                <c:pt idx="2">
                  <c:v>55.343511450381648</c:v>
                </c:pt>
              </c:numCache>
            </c:numRef>
          </c:val>
        </c:ser>
        <c:dLbls>
          <c:showLegendKey val="0"/>
          <c:showVal val="0"/>
          <c:showCatName val="0"/>
          <c:showSerName val="0"/>
          <c:showPercent val="0"/>
          <c:showBubbleSize val="0"/>
        </c:dLbls>
        <c:gapWidth val="150"/>
        <c:overlap val="100"/>
        <c:axId val="259894384"/>
        <c:axId val="152952576"/>
      </c:barChart>
      <c:catAx>
        <c:axId val="259894384"/>
        <c:scaling>
          <c:orientation val="minMax"/>
        </c:scaling>
        <c:delete val="0"/>
        <c:axPos val="b"/>
        <c:title>
          <c:tx>
            <c:rich>
              <a:bodyPr/>
              <a:lstStyle/>
              <a:p>
                <a:pPr>
                  <a:defRPr/>
                </a:pPr>
                <a:r>
                  <a:rPr lang="en-GB"/>
                  <a:t>Biomass</a:t>
                </a:r>
                <a:r>
                  <a:rPr lang="en-GB" baseline="0"/>
                  <a:t> type</a:t>
                </a:r>
                <a:endParaRPr lang="en-GB"/>
              </a:p>
            </c:rich>
          </c:tx>
          <c:layout>
            <c:manualLayout>
              <c:xMode val="edge"/>
              <c:yMode val="edge"/>
              <c:x val="0.34826008517582002"/>
              <c:y val="0.90873563790308198"/>
            </c:manualLayout>
          </c:layout>
          <c:overlay val="0"/>
        </c:title>
        <c:numFmt formatCode="General" sourceLinked="1"/>
        <c:majorTickMark val="out"/>
        <c:minorTickMark val="none"/>
        <c:tickLblPos val="nextTo"/>
        <c:txPr>
          <a:bodyPr rot="0" vert="horz"/>
          <a:lstStyle/>
          <a:p>
            <a:pPr>
              <a:defRPr/>
            </a:pPr>
            <a:endParaRPr lang="en-US"/>
          </a:p>
        </c:txPr>
        <c:crossAx val="152952576"/>
        <c:crosses val="autoZero"/>
        <c:auto val="1"/>
        <c:lblAlgn val="ctr"/>
        <c:lblOffset val="100"/>
        <c:noMultiLvlLbl val="0"/>
      </c:catAx>
      <c:valAx>
        <c:axId val="152952576"/>
        <c:scaling>
          <c:orientation val="minMax"/>
          <c:max val="100"/>
        </c:scaling>
        <c:delete val="0"/>
        <c:axPos val="l"/>
        <c:title>
          <c:tx>
            <c:rich>
              <a:bodyPr/>
              <a:lstStyle/>
              <a:p>
                <a:pPr>
                  <a:defRPr/>
                </a:pPr>
                <a:r>
                  <a:rPr lang="en-GB"/>
                  <a:t>% of original dried</a:t>
                </a:r>
                <a:r>
                  <a:rPr lang="en-GB" baseline="0"/>
                  <a:t> algal</a:t>
                </a:r>
                <a:r>
                  <a:rPr lang="en-GB"/>
                  <a:t> material</a:t>
                </a:r>
              </a:p>
            </c:rich>
          </c:tx>
          <c:layout/>
          <c:overlay val="0"/>
        </c:title>
        <c:numFmt formatCode="0" sourceLinked="0"/>
        <c:majorTickMark val="out"/>
        <c:minorTickMark val="none"/>
        <c:tickLblPos val="nextTo"/>
        <c:txPr>
          <a:bodyPr rot="0" vert="horz"/>
          <a:lstStyle/>
          <a:p>
            <a:pPr>
              <a:defRPr/>
            </a:pPr>
            <a:endParaRPr lang="en-US"/>
          </a:p>
        </c:txPr>
        <c:crossAx val="259894384"/>
        <c:crosses val="autoZero"/>
        <c:crossBetween val="between"/>
        <c:majorUnit val="20"/>
      </c:valAx>
      <c:spPr>
        <a:noFill/>
      </c:spPr>
    </c:plotArea>
    <c:legend>
      <c:legendPos val="r"/>
      <c:layout>
        <c:manualLayout>
          <c:xMode val="edge"/>
          <c:yMode val="edge"/>
          <c:x val="0.77296775486806901"/>
          <c:y val="0.13309864702931101"/>
          <c:w val="0.20997422420297701"/>
          <c:h val="0.58166088243708902"/>
        </c:manualLayout>
      </c:layout>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manualLayout>
          <c:layoutTarget val="inner"/>
          <c:xMode val="edge"/>
          <c:yMode val="edge"/>
          <c:x val="0.196407580181058"/>
          <c:y val="4.5549189619780002E-2"/>
          <c:w val="0.75787826428293603"/>
          <c:h val="0.72810321480515605"/>
        </c:manualLayout>
      </c:layout>
      <c:barChart>
        <c:barDir val="col"/>
        <c:grouping val="clustered"/>
        <c:varyColors val="0"/>
        <c:ser>
          <c:idx val="0"/>
          <c:order val="0"/>
          <c:tx>
            <c:strRef>
              <c:f>Sheet1!$B$55</c:f>
              <c:strCache>
                <c:ptCount val="1"/>
                <c:pt idx="0">
                  <c:v>Phosphate</c:v>
                </c:pt>
              </c:strCache>
            </c:strRef>
          </c:tx>
          <c:spPr>
            <a:solidFill>
              <a:schemeClr val="tx1"/>
            </a:solidFill>
            <a:ln>
              <a:solidFill>
                <a:schemeClr val="tx1"/>
              </a:solidFill>
            </a:ln>
          </c:spPr>
          <c:invertIfNegative val="0"/>
          <c:errBars>
            <c:errBarType val="both"/>
            <c:errValType val="cust"/>
            <c:noEndCap val="0"/>
            <c:plus>
              <c:numRef>
                <c:f>Sheet1!$E$56</c:f>
                <c:numCache>
                  <c:formatCode>General</c:formatCode>
                  <c:ptCount val="1"/>
                  <c:pt idx="0">
                    <c:v>70</c:v>
                  </c:pt>
                </c:numCache>
              </c:numRef>
            </c:plus>
            <c:minus>
              <c:numRef>
                <c:f>Sheet1!$E$56</c:f>
                <c:numCache>
                  <c:formatCode>General</c:formatCode>
                  <c:ptCount val="1"/>
                  <c:pt idx="0">
                    <c:v>70</c:v>
                  </c:pt>
                </c:numCache>
              </c:numRef>
            </c:minus>
          </c:errBars>
          <c:cat>
            <c:strRef>
              <c:f>Sheet1!$A$56:$A$58</c:f>
              <c:strCache>
                <c:ptCount val="3"/>
                <c:pt idx="0">
                  <c:v>Spirulina</c:v>
                </c:pt>
                <c:pt idx="1">
                  <c:v>AMD-1</c:v>
                </c:pt>
                <c:pt idx="2">
                  <c:v>AMD-2</c:v>
                </c:pt>
              </c:strCache>
            </c:strRef>
          </c:cat>
          <c:val>
            <c:numRef>
              <c:f>Sheet1!$B$56:$B$58</c:f>
              <c:numCache>
                <c:formatCode>General</c:formatCode>
                <c:ptCount val="3"/>
                <c:pt idx="0">
                  <c:v>1745</c:v>
                </c:pt>
                <c:pt idx="1">
                  <c:v>1620</c:v>
                </c:pt>
                <c:pt idx="2">
                  <c:v>11.4</c:v>
                </c:pt>
              </c:numCache>
            </c:numRef>
          </c:val>
        </c:ser>
        <c:ser>
          <c:idx val="1"/>
          <c:order val="1"/>
          <c:tx>
            <c:strRef>
              <c:f>Sheet1!$C$55</c:f>
              <c:strCache>
                <c:ptCount val="1"/>
                <c:pt idx="0">
                  <c:v>Total N</c:v>
                </c:pt>
              </c:strCache>
            </c:strRef>
          </c:tx>
          <c:spPr>
            <a:solidFill>
              <a:schemeClr val="bg1"/>
            </a:solidFill>
            <a:ln>
              <a:solidFill>
                <a:schemeClr val="tx1"/>
              </a:solidFill>
            </a:ln>
          </c:spPr>
          <c:invertIfNegative val="0"/>
          <c:errBars>
            <c:errBarType val="both"/>
            <c:errValType val="cust"/>
            <c:noEndCap val="0"/>
            <c:plus>
              <c:numRef>
                <c:f>Sheet1!$F$56</c:f>
                <c:numCache>
                  <c:formatCode>General</c:formatCode>
                  <c:ptCount val="1"/>
                  <c:pt idx="0">
                    <c:v>879</c:v>
                  </c:pt>
                </c:numCache>
              </c:numRef>
            </c:plus>
            <c:minus>
              <c:numRef>
                <c:f>Sheet1!$F$56</c:f>
                <c:numCache>
                  <c:formatCode>General</c:formatCode>
                  <c:ptCount val="1"/>
                  <c:pt idx="0">
                    <c:v>879</c:v>
                  </c:pt>
                </c:numCache>
              </c:numRef>
            </c:minus>
          </c:errBars>
          <c:cat>
            <c:strRef>
              <c:f>Sheet1!$A$56:$A$58</c:f>
              <c:strCache>
                <c:ptCount val="3"/>
                <c:pt idx="0">
                  <c:v>Spirulina</c:v>
                </c:pt>
                <c:pt idx="1">
                  <c:v>AMD-1</c:v>
                </c:pt>
                <c:pt idx="2">
                  <c:v>AMD-2</c:v>
                </c:pt>
              </c:strCache>
            </c:strRef>
          </c:cat>
          <c:val>
            <c:numRef>
              <c:f>Sheet1!$C$56:$C$58</c:f>
              <c:numCache>
                <c:formatCode>General</c:formatCode>
                <c:ptCount val="3"/>
                <c:pt idx="0">
                  <c:v>14238</c:v>
                </c:pt>
                <c:pt idx="1">
                  <c:v>10695</c:v>
                </c:pt>
                <c:pt idx="2">
                  <c:v>3313</c:v>
                </c:pt>
              </c:numCache>
            </c:numRef>
          </c:val>
        </c:ser>
        <c:ser>
          <c:idx val="2"/>
          <c:order val="2"/>
          <c:tx>
            <c:strRef>
              <c:f>Sheet1!$D$55</c:f>
              <c:strCache>
                <c:ptCount val="1"/>
                <c:pt idx="0">
                  <c:v>NH4+</c:v>
                </c:pt>
              </c:strCache>
            </c:strRef>
          </c:tx>
          <c:spPr>
            <a:solidFill>
              <a:schemeClr val="bg1">
                <a:lumMod val="65000"/>
              </a:schemeClr>
            </a:solidFill>
            <a:ln>
              <a:solidFill>
                <a:schemeClr val="tx1"/>
              </a:solidFill>
            </a:ln>
          </c:spPr>
          <c:invertIfNegative val="0"/>
          <c:errBars>
            <c:errBarType val="both"/>
            <c:errValType val="cust"/>
            <c:noEndCap val="0"/>
            <c:plus>
              <c:numRef>
                <c:f>Sheet1!$G$56</c:f>
                <c:numCache>
                  <c:formatCode>General</c:formatCode>
                  <c:ptCount val="1"/>
                  <c:pt idx="0">
                    <c:v>1204.9990936734</c:v>
                  </c:pt>
                </c:numCache>
              </c:numRef>
            </c:plus>
            <c:minus>
              <c:numRef>
                <c:f>Sheet1!$G$56</c:f>
                <c:numCache>
                  <c:formatCode>General</c:formatCode>
                  <c:ptCount val="1"/>
                  <c:pt idx="0">
                    <c:v>1204.9990936734</c:v>
                  </c:pt>
                </c:numCache>
              </c:numRef>
            </c:minus>
          </c:errBars>
          <c:cat>
            <c:strRef>
              <c:f>Sheet1!$A$56:$A$58</c:f>
              <c:strCache>
                <c:ptCount val="3"/>
                <c:pt idx="0">
                  <c:v>Spirulina</c:v>
                </c:pt>
                <c:pt idx="1">
                  <c:v>AMD-1</c:v>
                </c:pt>
                <c:pt idx="2">
                  <c:v>AMD-2</c:v>
                </c:pt>
              </c:strCache>
            </c:strRef>
          </c:cat>
          <c:val>
            <c:numRef>
              <c:f>Sheet1!$D$56:$D$58</c:f>
              <c:numCache>
                <c:formatCode>General</c:formatCode>
                <c:ptCount val="3"/>
                <c:pt idx="0">
                  <c:v>7860</c:v>
                </c:pt>
                <c:pt idx="1">
                  <c:v>7999</c:v>
                </c:pt>
                <c:pt idx="2">
                  <c:v>1554</c:v>
                </c:pt>
              </c:numCache>
            </c:numRef>
          </c:val>
        </c:ser>
        <c:dLbls>
          <c:showLegendKey val="0"/>
          <c:showVal val="0"/>
          <c:showCatName val="0"/>
          <c:showSerName val="0"/>
          <c:showPercent val="0"/>
          <c:showBubbleSize val="0"/>
        </c:dLbls>
        <c:gapWidth val="150"/>
        <c:axId val="152953752"/>
        <c:axId val="152954144"/>
      </c:barChart>
      <c:catAx>
        <c:axId val="152953752"/>
        <c:scaling>
          <c:orientation val="minMax"/>
        </c:scaling>
        <c:delete val="0"/>
        <c:axPos val="b"/>
        <c:numFmt formatCode="General" sourceLinked="1"/>
        <c:majorTickMark val="out"/>
        <c:minorTickMark val="none"/>
        <c:tickLblPos val="nextTo"/>
        <c:txPr>
          <a:bodyPr rot="-1980000" vert="horz"/>
          <a:lstStyle/>
          <a:p>
            <a:pPr>
              <a:defRPr/>
            </a:pPr>
            <a:endParaRPr lang="en-US"/>
          </a:p>
        </c:txPr>
        <c:crossAx val="152954144"/>
        <c:crosses val="autoZero"/>
        <c:auto val="1"/>
        <c:lblAlgn val="ctr"/>
        <c:lblOffset val="100"/>
        <c:noMultiLvlLbl val="0"/>
      </c:catAx>
      <c:valAx>
        <c:axId val="152954144"/>
        <c:scaling>
          <c:orientation val="minMax"/>
          <c:max val="16000"/>
          <c:min val="0"/>
        </c:scaling>
        <c:delete val="0"/>
        <c:axPos val="l"/>
        <c:title>
          <c:tx>
            <c:rich>
              <a:bodyPr/>
              <a:lstStyle/>
              <a:p>
                <a:pPr>
                  <a:defRPr/>
                </a:pPr>
                <a:r>
                  <a:rPr lang="en-GB"/>
                  <a:t> Concentration of nutrient /</a:t>
                </a:r>
                <a:r>
                  <a:rPr lang="en-GB" baseline="0"/>
                  <a:t> mg l</a:t>
                </a:r>
                <a:r>
                  <a:rPr lang="en-GB" baseline="30000"/>
                  <a:t>-1</a:t>
                </a:r>
              </a:p>
            </c:rich>
          </c:tx>
          <c:layout>
            <c:manualLayout>
              <c:xMode val="edge"/>
              <c:yMode val="edge"/>
              <c:x val="1.5165268835670501E-3"/>
              <c:y val="2.0222729768937499E-2"/>
            </c:manualLayout>
          </c:layout>
          <c:overlay val="0"/>
        </c:title>
        <c:numFmt formatCode="0" sourceLinked="0"/>
        <c:majorTickMark val="out"/>
        <c:minorTickMark val="none"/>
        <c:tickLblPos val="nextTo"/>
        <c:txPr>
          <a:bodyPr rot="0" vert="horz"/>
          <a:lstStyle/>
          <a:p>
            <a:pPr>
              <a:defRPr/>
            </a:pPr>
            <a:endParaRPr lang="en-US"/>
          </a:p>
        </c:txPr>
        <c:crossAx val="152953752"/>
        <c:crosses val="autoZero"/>
        <c:crossBetween val="between"/>
      </c:valAx>
      <c:spPr>
        <a:noFill/>
        <a:ln w="25400">
          <a:noFill/>
        </a:ln>
      </c:spPr>
    </c:plotArea>
    <c:legend>
      <c:legendPos val="t"/>
      <c:layout>
        <c:manualLayout>
          <c:xMode val="edge"/>
          <c:yMode val="edge"/>
          <c:x val="0.45425395078560099"/>
          <c:y val="4.0760912695263503E-2"/>
          <c:w val="0.47452150720411601"/>
          <c:h val="0.140322690724169"/>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22011251758101"/>
          <c:y val="5.8796296296296298E-2"/>
          <c:w val="0.709241561181434"/>
          <c:h val="0.73478611111111103"/>
        </c:manualLayout>
      </c:layout>
      <c:scatterChart>
        <c:scatterStyle val="lineMarker"/>
        <c:varyColors val="0"/>
        <c:ser>
          <c:idx val="2"/>
          <c:order val="1"/>
          <c:tx>
            <c:strRef>
              <c:f>Sheet1!$J$1</c:f>
              <c:strCache>
                <c:ptCount val="1"/>
                <c:pt idx="0">
                  <c:v>Phosphate concentration</c:v>
                </c:pt>
              </c:strCache>
            </c:strRef>
          </c:tx>
          <c:spPr>
            <a:ln w="19050" cap="rnd">
              <a:noFill/>
              <a:round/>
            </a:ln>
            <a:effectLst/>
          </c:spPr>
          <c:marker>
            <c:symbol val="diamond"/>
            <c:size val="7"/>
            <c:spPr>
              <a:solidFill>
                <a:schemeClr val="tx1"/>
              </a:solidFill>
              <a:ln w="9525">
                <a:solidFill>
                  <a:schemeClr val="tx1"/>
                </a:solidFill>
              </a:ln>
              <a:effectLst/>
            </c:spPr>
          </c:marker>
          <c:errBars>
            <c:errDir val="y"/>
            <c:errBarType val="both"/>
            <c:errValType val="cust"/>
            <c:noEndCap val="0"/>
            <c:plus>
              <c:numRef>
                <c:f>Sheet1!$M$2:$M$17</c:f>
                <c:numCache>
                  <c:formatCode>General</c:formatCode>
                  <c:ptCount val="16"/>
                  <c:pt idx="1">
                    <c:v>3.8418317141103961</c:v>
                  </c:pt>
                  <c:pt idx="3">
                    <c:v>1.142988524687587</c:v>
                  </c:pt>
                  <c:pt idx="5">
                    <c:v>0.55053952915252602</c:v>
                  </c:pt>
                  <c:pt idx="7">
                    <c:v>0.65934137191791597</c:v>
                  </c:pt>
                  <c:pt idx="10">
                    <c:v>7.7712953915941296E-2</c:v>
                  </c:pt>
                  <c:pt idx="12">
                    <c:v>3.8748639921148798E-2</c:v>
                  </c:pt>
                  <c:pt idx="15">
                    <c:v>0.32065757030292402</c:v>
                  </c:pt>
                </c:numCache>
              </c:numRef>
            </c:plus>
            <c:minus>
              <c:numRef>
                <c:f>Sheet1!$M$2:$M$17</c:f>
                <c:numCache>
                  <c:formatCode>General</c:formatCode>
                  <c:ptCount val="16"/>
                  <c:pt idx="1">
                    <c:v>3.8418317141103961</c:v>
                  </c:pt>
                  <c:pt idx="3">
                    <c:v>1.142988524687587</c:v>
                  </c:pt>
                  <c:pt idx="5">
                    <c:v>0.55053952915252602</c:v>
                  </c:pt>
                  <c:pt idx="7">
                    <c:v>0.65934137191791597</c:v>
                  </c:pt>
                  <c:pt idx="10">
                    <c:v>7.7712953915941296E-2</c:v>
                  </c:pt>
                  <c:pt idx="12">
                    <c:v>3.8748639921148798E-2</c:v>
                  </c:pt>
                  <c:pt idx="15">
                    <c:v>0.32065757030292402</c:v>
                  </c:pt>
                </c:numCache>
              </c:numRef>
            </c:minus>
            <c:spPr>
              <a:noFill/>
              <a:ln w="9525" cap="flat" cmpd="sng" algn="ctr">
                <a:solidFill>
                  <a:schemeClr val="tx1">
                    <a:lumMod val="65000"/>
                    <a:lumOff val="35000"/>
                  </a:schemeClr>
                </a:solidFill>
                <a:round/>
              </a:ln>
              <a:effectLst/>
            </c:spPr>
          </c:errBars>
          <c:xVal>
            <c:numRef>
              <c:f>Sheet1!$A$2:$A$17</c:f>
              <c:numCache>
                <c:formatCode>General</c:formatCod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numCache>
            </c:numRef>
          </c:xVal>
          <c:yVal>
            <c:numRef>
              <c:f>Sheet1!$J$2:$J$17</c:f>
              <c:numCache>
                <c:formatCode>General</c:formatCode>
                <c:ptCount val="16"/>
                <c:pt idx="0">
                  <c:v>18</c:v>
                </c:pt>
                <c:pt idx="1">
                  <c:v>12.753020057224999</c:v>
                </c:pt>
                <c:pt idx="3">
                  <c:v>8.1434131222249988</c:v>
                </c:pt>
                <c:pt idx="5">
                  <c:v>6.5192902343750001</c:v>
                </c:pt>
                <c:pt idx="7">
                  <c:v>5.963775244799999</c:v>
                </c:pt>
                <c:pt idx="9">
                  <c:v>5.4138476562499989</c:v>
                </c:pt>
                <c:pt idx="10">
                  <c:v>5.3034842586499984</c:v>
                </c:pt>
                <c:pt idx="12">
                  <c:v>5.2759323279999988</c:v>
                </c:pt>
                <c:pt idx="15">
                  <c:v>5.6128420575999991</c:v>
                </c:pt>
              </c:numCache>
            </c:numRef>
          </c:yVal>
          <c:smooth val="0"/>
        </c:ser>
        <c:dLbls>
          <c:showLegendKey val="0"/>
          <c:showVal val="0"/>
          <c:showCatName val="0"/>
          <c:showSerName val="0"/>
          <c:showPercent val="0"/>
          <c:showBubbleSize val="0"/>
        </c:dLbls>
        <c:axId val="152954928"/>
        <c:axId val="152955320"/>
      </c:scatterChart>
      <c:scatterChart>
        <c:scatterStyle val="lineMarker"/>
        <c:varyColors val="0"/>
        <c:ser>
          <c:idx val="0"/>
          <c:order val="0"/>
          <c:tx>
            <c:strRef>
              <c:f>Sheet1!$H$1</c:f>
              <c:strCache>
                <c:ptCount val="1"/>
                <c:pt idx="0">
                  <c:v>Algal cell count</c:v>
                </c:pt>
              </c:strCache>
            </c:strRef>
          </c:tx>
          <c:spPr>
            <a:ln w="19050" cap="rnd">
              <a:noFill/>
              <a:round/>
            </a:ln>
            <a:effectLst/>
          </c:spPr>
          <c:marker>
            <c:symbol val="circle"/>
            <c:size val="5"/>
            <c:spPr>
              <a:solidFill>
                <a:schemeClr val="bg1"/>
              </a:solidFill>
              <a:ln w="9525">
                <a:solidFill>
                  <a:schemeClr val="tx1"/>
                </a:solidFill>
              </a:ln>
              <a:effectLst/>
            </c:spPr>
          </c:marker>
          <c:errBars>
            <c:errDir val="y"/>
            <c:errBarType val="both"/>
            <c:errValType val="cust"/>
            <c:noEndCap val="0"/>
            <c:plus>
              <c:numRef>
                <c:f>Sheet1!$K$2:$K$17</c:f>
                <c:numCache>
                  <c:formatCode>General</c:formatCode>
                  <c:ptCount val="16"/>
                  <c:pt idx="0">
                    <c:v>1.4142135623730999E-2</c:v>
                  </c:pt>
                  <c:pt idx="1">
                    <c:v>7.0710678118654795E-4</c:v>
                  </c:pt>
                  <c:pt idx="2">
                    <c:v>0.19091883092036799</c:v>
                  </c:pt>
                  <c:pt idx="3">
                    <c:v>0.134350288425444</c:v>
                  </c:pt>
                  <c:pt idx="4">
                    <c:v>0.35850313806157702</c:v>
                  </c:pt>
                  <c:pt idx="5">
                    <c:v>0.57770624022940897</c:v>
                  </c:pt>
                  <c:pt idx="6">
                    <c:v>0.50911688245431197</c:v>
                  </c:pt>
                  <c:pt idx="7">
                    <c:v>7.0710678118654793E-2</c:v>
                  </c:pt>
                  <c:pt idx="8">
                    <c:v>0.88105504935843404</c:v>
                  </c:pt>
                  <c:pt idx="9">
                    <c:v>0.615182899632296</c:v>
                  </c:pt>
                  <c:pt idx="10">
                    <c:v>1.5627059864222661</c:v>
                  </c:pt>
                  <c:pt idx="11">
                    <c:v>0</c:v>
                  </c:pt>
                  <c:pt idx="12">
                    <c:v>0</c:v>
                  </c:pt>
                  <c:pt idx="13">
                    <c:v>0</c:v>
                  </c:pt>
                  <c:pt idx="15">
                    <c:v>1.5627059864222661</c:v>
                  </c:pt>
                </c:numCache>
              </c:numRef>
            </c:plus>
            <c:minus>
              <c:numRef>
                <c:f>Sheet1!$K$2:$K$17</c:f>
                <c:numCache>
                  <c:formatCode>General</c:formatCode>
                  <c:ptCount val="16"/>
                  <c:pt idx="0">
                    <c:v>1.4142135623730999E-2</c:v>
                  </c:pt>
                  <c:pt idx="1">
                    <c:v>7.0710678118654795E-4</c:v>
                  </c:pt>
                  <c:pt idx="2">
                    <c:v>0.19091883092036799</c:v>
                  </c:pt>
                  <c:pt idx="3">
                    <c:v>0.134350288425444</c:v>
                  </c:pt>
                  <c:pt idx="4">
                    <c:v>0.35850313806157702</c:v>
                  </c:pt>
                  <c:pt idx="5">
                    <c:v>0.57770624022940897</c:v>
                  </c:pt>
                  <c:pt idx="6">
                    <c:v>0.50911688245431197</c:v>
                  </c:pt>
                  <c:pt idx="7">
                    <c:v>7.0710678118654793E-2</c:v>
                  </c:pt>
                  <c:pt idx="8">
                    <c:v>0.88105504935843404</c:v>
                  </c:pt>
                  <c:pt idx="9">
                    <c:v>0.615182899632296</c:v>
                  </c:pt>
                  <c:pt idx="10">
                    <c:v>1.5627059864222661</c:v>
                  </c:pt>
                  <c:pt idx="11">
                    <c:v>0</c:v>
                  </c:pt>
                  <c:pt idx="12">
                    <c:v>0</c:v>
                  </c:pt>
                  <c:pt idx="13">
                    <c:v>0</c:v>
                  </c:pt>
                  <c:pt idx="15">
                    <c:v>1.5627059864222661</c:v>
                  </c:pt>
                </c:numCache>
              </c:numRef>
            </c:minus>
            <c:spPr>
              <a:noFill/>
              <a:ln w="9525" cap="flat" cmpd="sng" algn="ctr">
                <a:solidFill>
                  <a:schemeClr val="tx1">
                    <a:lumMod val="65000"/>
                    <a:lumOff val="35000"/>
                  </a:schemeClr>
                </a:solidFill>
                <a:round/>
              </a:ln>
              <a:effectLst/>
            </c:spPr>
          </c:errBars>
          <c:xVal>
            <c:numRef>
              <c:f>Sheet1!$A$2:$A$17</c:f>
              <c:numCache>
                <c:formatCode>General</c:formatCod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numCache>
            </c:numRef>
          </c:xVal>
          <c:yVal>
            <c:numRef>
              <c:f>Sheet1!$H$2:$H$17</c:f>
              <c:numCache>
                <c:formatCode>General</c:formatCode>
                <c:ptCount val="16"/>
                <c:pt idx="0">
                  <c:v>0.09</c:v>
                </c:pt>
                <c:pt idx="1">
                  <c:v>0.45250000000000001</c:v>
                </c:pt>
                <c:pt idx="2">
                  <c:v>1.405</c:v>
                </c:pt>
                <c:pt idx="3">
                  <c:v>3.0649999999999999</c:v>
                </c:pt>
                <c:pt idx="4">
                  <c:v>1.8765000000000001</c:v>
                </c:pt>
                <c:pt idx="5">
                  <c:v>1.6214999999999999</c:v>
                </c:pt>
                <c:pt idx="6">
                  <c:v>2.6</c:v>
                </c:pt>
                <c:pt idx="7">
                  <c:v>2.87</c:v>
                </c:pt>
                <c:pt idx="8">
                  <c:v>4.2300000000000004</c:v>
                </c:pt>
                <c:pt idx="9">
                  <c:v>4.4749999999999996</c:v>
                </c:pt>
                <c:pt idx="10">
                  <c:v>5.0150000000000006</c:v>
                </c:pt>
                <c:pt idx="15">
                  <c:v>5.0150000000000006</c:v>
                </c:pt>
              </c:numCache>
            </c:numRef>
          </c:yVal>
          <c:smooth val="0"/>
        </c:ser>
        <c:dLbls>
          <c:showLegendKey val="0"/>
          <c:showVal val="0"/>
          <c:showCatName val="0"/>
          <c:showSerName val="0"/>
          <c:showPercent val="0"/>
          <c:showBubbleSize val="0"/>
        </c:dLbls>
        <c:axId val="152956104"/>
        <c:axId val="152955712"/>
      </c:scatterChart>
      <c:valAx>
        <c:axId val="152954928"/>
        <c:scaling>
          <c:orientation val="minMax"/>
          <c:max val="16"/>
          <c:min val="0"/>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Time (days)</a:t>
                </a:r>
              </a:p>
            </c:rich>
          </c:tx>
          <c:layout>
            <c:manualLayout>
              <c:xMode val="edge"/>
              <c:yMode val="edge"/>
              <c:x val="0.338659985935303"/>
              <c:y val="0.906833796296296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2955320"/>
        <c:crosses val="autoZero"/>
        <c:crossBetween val="midCat"/>
        <c:majorUnit val="2"/>
      </c:valAx>
      <c:valAx>
        <c:axId val="152955320"/>
        <c:scaling>
          <c:orientation val="minMax"/>
          <c:max val="25"/>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Phosphate conc. (mg / L)</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2954928"/>
        <c:crosses val="autoZero"/>
        <c:crossBetween val="midCat"/>
      </c:valAx>
      <c:valAx>
        <c:axId val="152955712"/>
        <c:scaling>
          <c:orientation val="minMax"/>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Algal cell count (m cells / </a:t>
                </a: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ml</a:t>
                </a:r>
                <a:r>
                  <a:rPr lang="en-US"/>
                  <a:t>)</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2956104"/>
        <c:crosses val="max"/>
        <c:crossBetween val="midCat"/>
      </c:valAx>
      <c:valAx>
        <c:axId val="152956104"/>
        <c:scaling>
          <c:orientation val="minMax"/>
        </c:scaling>
        <c:delete val="1"/>
        <c:axPos val="b"/>
        <c:numFmt formatCode="General" sourceLinked="1"/>
        <c:majorTickMark val="out"/>
        <c:minorTickMark val="none"/>
        <c:tickLblPos val="nextTo"/>
        <c:crossAx val="152955712"/>
        <c:crosses val="autoZero"/>
        <c:crossBetween val="midCat"/>
      </c:valAx>
      <c:spPr>
        <a:noFill/>
        <a:ln>
          <a:noFill/>
        </a:ln>
        <a:effectLst/>
      </c:spPr>
    </c:plotArea>
    <c:legend>
      <c:legendPos val="b"/>
      <c:layout>
        <c:manualLayout>
          <c:xMode val="edge"/>
          <c:yMode val="edge"/>
          <c:x val="0.130153305203938"/>
          <c:y val="3.7013425925925901E-2"/>
          <c:w val="0.38294198312236299"/>
          <c:h val="0.2956717592592589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13742930510811299"/>
          <c:y val="5.6935998384817298E-2"/>
          <c:w val="0.81764029882663403"/>
          <c:h val="0.59308160125754217"/>
        </c:manualLayout>
      </c:layout>
      <c:barChart>
        <c:barDir val="col"/>
        <c:grouping val="clustered"/>
        <c:varyColors val="0"/>
        <c:ser>
          <c:idx val="2"/>
          <c:order val="0"/>
          <c:tx>
            <c:v>original spirulina biomass</c:v>
          </c:tx>
          <c:spPr>
            <a:pattFill prst="wdDnDiag">
              <a:fgClr>
                <a:schemeClr val="tx1"/>
              </a:fgClr>
              <a:bgClr>
                <a:schemeClr val="bg1"/>
              </a:bgClr>
            </a:pattFill>
            <a:ln>
              <a:solidFill>
                <a:schemeClr val="bg2">
                  <a:lumMod val="25000"/>
                </a:schemeClr>
              </a:solidFill>
            </a:ln>
          </c:spPr>
          <c:invertIfNegative val="0"/>
          <c:errBars>
            <c:errBarType val="both"/>
            <c:errValType val="cust"/>
            <c:noEndCap val="0"/>
            <c:plus>
              <c:numRef>
                <c:f>'Oil CHN graph'!$J$31</c:f>
                <c:numCache>
                  <c:formatCode>General</c:formatCode>
                  <c:ptCount val="1"/>
                  <c:pt idx="0">
                    <c:v>0.46814349651931803</c:v>
                  </c:pt>
                </c:numCache>
              </c:numRef>
            </c:plus>
            <c:minus>
              <c:numRef>
                <c:f>'Oil CHN graph'!$J$31</c:f>
                <c:numCache>
                  <c:formatCode>General</c:formatCode>
                  <c:ptCount val="1"/>
                  <c:pt idx="0">
                    <c:v>0.46814349651931803</c:v>
                  </c:pt>
                </c:numCache>
              </c:numRef>
            </c:minus>
          </c:errBars>
          <c:cat>
            <c:strRef>
              <c:f>('Oil CHN graph'!$B$24,'Oil CHN graph'!$D$7,'Oil CHN graph'!$D$9,'Oil CHN graph'!$D$11,'Oil CHN graph'!$D$13,'Oil CHN graph'!$D$15,'Oil CHN graph'!$D$17,'Oil CHN graph'!$D$19,'Oil CHN graph'!$D$21)</c:f>
              <c:strCache>
                <c:ptCount val="9"/>
                <c:pt idx="0">
                  <c:v>Spirulina</c:v>
                </c:pt>
                <c:pt idx="1">
                  <c:v>None</c:v>
                </c:pt>
                <c:pt idx="2">
                  <c:v>Pb</c:v>
                </c:pt>
                <c:pt idx="3">
                  <c:v>Sn</c:v>
                </c:pt>
                <c:pt idx="4">
                  <c:v>Mg Zn Fe (low uptake)</c:v>
                </c:pt>
                <c:pt idx="5">
                  <c:v>Mg Zn Fe (high uptake)</c:v>
                </c:pt>
                <c:pt idx="6">
                  <c:v>Mg</c:v>
                </c:pt>
                <c:pt idx="7">
                  <c:v>Zn</c:v>
                </c:pt>
                <c:pt idx="8">
                  <c:v>Fe</c:v>
                </c:pt>
              </c:strCache>
            </c:strRef>
          </c:cat>
          <c:val>
            <c:numRef>
              <c:f>'Oil CHN graph'!$J$24</c:f>
              <c:numCache>
                <c:formatCode>General</c:formatCode>
                <c:ptCount val="1"/>
                <c:pt idx="0">
                  <c:v>9.7349999999999994</c:v>
                </c:pt>
              </c:numCache>
            </c:numRef>
          </c:val>
        </c:ser>
        <c:ser>
          <c:idx val="0"/>
          <c:order val="1"/>
          <c:tx>
            <c:v>310 °C</c:v>
          </c:tx>
          <c:spPr>
            <a:solidFill>
              <a:schemeClr val="tx1"/>
            </a:solidFill>
            <a:ln>
              <a:solidFill>
                <a:schemeClr val="tx1"/>
              </a:solidFill>
            </a:ln>
          </c:spPr>
          <c:invertIfNegative val="0"/>
          <c:errBars>
            <c:errBarType val="both"/>
            <c:errValType val="cust"/>
            <c:noEndCap val="0"/>
            <c:plus>
              <c:numRef>
                <c:f>'Oil CHN graph'!$J$31</c:f>
                <c:numCache>
                  <c:formatCode>General</c:formatCode>
                  <c:ptCount val="1"/>
                  <c:pt idx="0">
                    <c:v>0.46814349651931803</c:v>
                  </c:pt>
                </c:numCache>
              </c:numRef>
            </c:plus>
            <c:minus>
              <c:numRef>
                <c:f>'Oil CHN graph'!$J$31</c:f>
                <c:numCache>
                  <c:formatCode>General</c:formatCode>
                  <c:ptCount val="1"/>
                  <c:pt idx="0">
                    <c:v>0.46814349651931803</c:v>
                  </c:pt>
                </c:numCache>
              </c:numRef>
            </c:minus>
          </c:errBars>
          <c:cat>
            <c:strRef>
              <c:f>('Oil CHN graph'!$B$24,'Oil CHN graph'!$D$7,'Oil CHN graph'!$D$9,'Oil CHN graph'!$D$11,'Oil CHN graph'!$D$13,'Oil CHN graph'!$D$15,'Oil CHN graph'!$D$17,'Oil CHN graph'!$D$19,'Oil CHN graph'!$D$21)</c:f>
              <c:strCache>
                <c:ptCount val="9"/>
                <c:pt idx="0">
                  <c:v>Spirulina</c:v>
                </c:pt>
                <c:pt idx="1">
                  <c:v>None</c:v>
                </c:pt>
                <c:pt idx="2">
                  <c:v>Pb</c:v>
                </c:pt>
                <c:pt idx="3">
                  <c:v>Sn</c:v>
                </c:pt>
                <c:pt idx="4">
                  <c:v>Mg Zn Fe (low uptake)</c:v>
                </c:pt>
                <c:pt idx="5">
                  <c:v>Mg Zn Fe (high uptake)</c:v>
                </c:pt>
                <c:pt idx="6">
                  <c:v>Mg</c:v>
                </c:pt>
                <c:pt idx="7">
                  <c:v>Zn</c:v>
                </c:pt>
                <c:pt idx="8">
                  <c:v>Fe</c:v>
                </c:pt>
              </c:strCache>
            </c:strRef>
          </c:cat>
          <c:val>
            <c:numRef>
              <c:f>('Oil CHN graph'!$J$6,'Oil CHN graph'!$J$7,'Oil CHN graph'!$J$9,'Oil CHN graph'!$J$11,'Oil CHN graph'!$J$13,'Oil CHN graph'!$J$15,'Oil CHN graph'!$J$17,'Oil CHN graph'!$J$19,'Oil CHN graph'!$J$21)</c:f>
              <c:numCache>
                <c:formatCode>General</c:formatCode>
                <c:ptCount val="9"/>
                <c:pt idx="1">
                  <c:v>7.9325000000000001</c:v>
                </c:pt>
                <c:pt idx="2">
                  <c:v>7.9749999999999996</c:v>
                </c:pt>
                <c:pt idx="3">
                  <c:v>9.9550000000000001</c:v>
                </c:pt>
                <c:pt idx="4">
                  <c:v>7.8849999999999989</c:v>
                </c:pt>
                <c:pt idx="5">
                  <c:v>6.9875000000000007</c:v>
                </c:pt>
                <c:pt idx="6">
                  <c:v>8.98</c:v>
                </c:pt>
                <c:pt idx="7">
                  <c:v>7.8274999999999988</c:v>
                </c:pt>
                <c:pt idx="8">
                  <c:v>7.94</c:v>
                </c:pt>
              </c:numCache>
            </c:numRef>
          </c:val>
        </c:ser>
        <c:ser>
          <c:idx val="1"/>
          <c:order val="2"/>
          <c:tx>
            <c:v>350 °C</c:v>
          </c:tx>
          <c:spPr>
            <a:solidFill>
              <a:schemeClr val="bg1"/>
            </a:solidFill>
            <a:ln>
              <a:solidFill>
                <a:schemeClr val="tx1"/>
              </a:solidFill>
            </a:ln>
          </c:spPr>
          <c:invertIfNegative val="0"/>
          <c:errBars>
            <c:errBarType val="both"/>
            <c:errValType val="cust"/>
            <c:noEndCap val="0"/>
            <c:plus>
              <c:numRef>
                <c:f>'Oil CHN graph'!$J$31</c:f>
                <c:numCache>
                  <c:formatCode>General</c:formatCode>
                  <c:ptCount val="1"/>
                  <c:pt idx="0">
                    <c:v>0.46814349651931803</c:v>
                  </c:pt>
                </c:numCache>
              </c:numRef>
            </c:plus>
            <c:minus>
              <c:numRef>
                <c:f>'Oil CHN graph'!$J$31</c:f>
                <c:numCache>
                  <c:formatCode>General</c:formatCode>
                  <c:ptCount val="1"/>
                  <c:pt idx="0">
                    <c:v>0.46814349651931803</c:v>
                  </c:pt>
                </c:numCache>
              </c:numRef>
            </c:minus>
          </c:errBars>
          <c:cat>
            <c:strRef>
              <c:f>('Oil CHN graph'!$B$24,'Oil CHN graph'!$D$7,'Oil CHN graph'!$D$9,'Oil CHN graph'!$D$11,'Oil CHN graph'!$D$13,'Oil CHN graph'!$D$15,'Oil CHN graph'!$D$17,'Oil CHN graph'!$D$19,'Oil CHN graph'!$D$21)</c:f>
              <c:strCache>
                <c:ptCount val="9"/>
                <c:pt idx="0">
                  <c:v>Spirulina</c:v>
                </c:pt>
                <c:pt idx="1">
                  <c:v>None</c:v>
                </c:pt>
                <c:pt idx="2">
                  <c:v>Pb</c:v>
                </c:pt>
                <c:pt idx="3">
                  <c:v>Sn</c:v>
                </c:pt>
                <c:pt idx="4">
                  <c:v>Mg Zn Fe (low uptake)</c:v>
                </c:pt>
                <c:pt idx="5">
                  <c:v>Mg Zn Fe (high uptake)</c:v>
                </c:pt>
                <c:pt idx="6">
                  <c:v>Mg</c:v>
                </c:pt>
                <c:pt idx="7">
                  <c:v>Zn</c:v>
                </c:pt>
                <c:pt idx="8">
                  <c:v>Fe</c:v>
                </c:pt>
              </c:strCache>
            </c:strRef>
          </c:cat>
          <c:val>
            <c:numRef>
              <c:f>('Oil CHN graph'!$J$6,'Oil CHN graph'!$J$8,'Oil CHN graph'!$J$10,'Oil CHN graph'!$J$12,'Oil CHN graph'!$J$14,'Oil CHN graph'!$J$16,'Oil CHN graph'!$J$18,'Oil CHN graph'!$J$20,'Oil CHN graph'!$J$22)</c:f>
              <c:numCache>
                <c:formatCode>General</c:formatCode>
                <c:ptCount val="9"/>
                <c:pt idx="1">
                  <c:v>6.9766666666666683</c:v>
                </c:pt>
                <c:pt idx="2">
                  <c:v>8.3650000000000002</c:v>
                </c:pt>
                <c:pt idx="3">
                  <c:v>7.46</c:v>
                </c:pt>
                <c:pt idx="4">
                  <c:v>7.1649999999999991</c:v>
                </c:pt>
                <c:pt idx="5">
                  <c:v>6.6549999999999967</c:v>
                </c:pt>
                <c:pt idx="6">
                  <c:v>8.3149999999999995</c:v>
                </c:pt>
                <c:pt idx="7">
                  <c:v>7.44</c:v>
                </c:pt>
                <c:pt idx="8">
                  <c:v>7.4849999999999994</c:v>
                </c:pt>
              </c:numCache>
            </c:numRef>
          </c:val>
        </c:ser>
        <c:dLbls>
          <c:showLegendKey val="0"/>
          <c:showVal val="0"/>
          <c:showCatName val="0"/>
          <c:showSerName val="0"/>
          <c:showPercent val="0"/>
          <c:showBubbleSize val="0"/>
        </c:dLbls>
        <c:gapWidth val="150"/>
        <c:axId val="259325888"/>
        <c:axId val="259326280"/>
      </c:barChart>
      <c:catAx>
        <c:axId val="259325888"/>
        <c:scaling>
          <c:orientation val="minMax"/>
        </c:scaling>
        <c:delete val="0"/>
        <c:axPos val="b"/>
        <c:numFmt formatCode="General" sourceLinked="1"/>
        <c:majorTickMark val="out"/>
        <c:minorTickMark val="none"/>
        <c:tickLblPos val="nextTo"/>
        <c:txPr>
          <a:bodyPr rot="-1980000"/>
          <a:lstStyle/>
          <a:p>
            <a:pPr>
              <a:defRPr/>
            </a:pPr>
            <a:endParaRPr lang="en-US"/>
          </a:p>
        </c:txPr>
        <c:crossAx val="259326280"/>
        <c:crosses val="autoZero"/>
        <c:auto val="1"/>
        <c:lblAlgn val="ctr"/>
        <c:lblOffset val="100"/>
        <c:noMultiLvlLbl val="0"/>
      </c:catAx>
      <c:valAx>
        <c:axId val="259326280"/>
        <c:scaling>
          <c:orientation val="minMax"/>
        </c:scaling>
        <c:delete val="0"/>
        <c:axPos val="l"/>
        <c:title>
          <c:tx>
            <c:rich>
              <a:bodyPr rot="-5400000" vert="horz"/>
              <a:lstStyle/>
              <a:p>
                <a:pPr>
                  <a:defRPr/>
                </a:pPr>
                <a:r>
                  <a:rPr lang="en-US"/>
                  <a:t>Nitrogen content / %</a:t>
                </a:r>
              </a:p>
            </c:rich>
          </c:tx>
          <c:layout>
            <c:manualLayout>
              <c:xMode val="edge"/>
              <c:yMode val="edge"/>
              <c:x val="2.8484847431165402E-3"/>
              <c:y val="0.102963530336918"/>
            </c:manualLayout>
          </c:layout>
          <c:overlay val="0"/>
        </c:title>
        <c:numFmt formatCode="General" sourceLinked="1"/>
        <c:majorTickMark val="out"/>
        <c:minorTickMark val="none"/>
        <c:tickLblPos val="nextTo"/>
        <c:crossAx val="259325888"/>
        <c:crosses val="autoZero"/>
        <c:crossBetween val="between"/>
      </c:valAx>
      <c:spPr>
        <a:solidFill>
          <a:schemeClr val="bg1"/>
        </a:solidFill>
      </c:spPr>
    </c:plotArea>
    <c:legend>
      <c:legendPos val="r"/>
      <c:layout>
        <c:manualLayout>
          <c:xMode val="edge"/>
          <c:yMode val="edge"/>
          <c:x val="0.48697510183715398"/>
          <c:y val="2.2498646813117199E-2"/>
          <c:w val="0.49536095468746499"/>
          <c:h val="0.16096816691687901"/>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14460835777880701"/>
          <c:y val="7.0028037145165797E-2"/>
          <c:w val="0.79978893673839502"/>
          <c:h val="0.55359493618134603"/>
        </c:manualLayout>
      </c:layout>
      <c:barChart>
        <c:barDir val="col"/>
        <c:grouping val="clustered"/>
        <c:varyColors val="0"/>
        <c:ser>
          <c:idx val="0"/>
          <c:order val="0"/>
          <c:tx>
            <c:v>310 °C</c:v>
          </c:tx>
          <c:spPr>
            <a:solidFill>
              <a:schemeClr val="dk1"/>
            </a:solidFill>
            <a:ln>
              <a:solidFill>
                <a:schemeClr val="tx1"/>
              </a:solidFill>
            </a:ln>
          </c:spPr>
          <c:invertIfNegative val="0"/>
          <c:errBars>
            <c:errBarType val="both"/>
            <c:errValType val="cust"/>
            <c:noEndCap val="0"/>
            <c:plus>
              <c:numRef>
                <c:f>'Oil energy graph'!$F$25</c:f>
                <c:numCache>
                  <c:formatCode>General</c:formatCode>
                  <c:ptCount val="1"/>
                  <c:pt idx="0">
                    <c:v>0.19078234544457501</c:v>
                  </c:pt>
                </c:numCache>
              </c:numRef>
            </c:plus>
            <c:minus>
              <c:numRef>
                <c:f>'Oil energy graph'!$F$25</c:f>
                <c:numCache>
                  <c:formatCode>General</c:formatCode>
                  <c:ptCount val="1"/>
                  <c:pt idx="0">
                    <c:v>0.19078234544457501</c:v>
                  </c:pt>
                </c:numCache>
              </c:numRef>
            </c:minus>
          </c:errBars>
          <c:cat>
            <c:strRef>
              <c:f>'Oil energy graph'!$B$28:$B$35</c:f>
              <c:strCache>
                <c:ptCount val="8"/>
                <c:pt idx="0">
                  <c:v>None</c:v>
                </c:pt>
                <c:pt idx="1">
                  <c:v>Pb</c:v>
                </c:pt>
                <c:pt idx="2">
                  <c:v>Sn</c:v>
                </c:pt>
                <c:pt idx="3">
                  <c:v>Mg Zn Fe (low uptake)</c:v>
                </c:pt>
                <c:pt idx="4">
                  <c:v>Mg Zn Fe (high uptake)</c:v>
                </c:pt>
                <c:pt idx="5">
                  <c:v>Mg</c:v>
                </c:pt>
                <c:pt idx="6">
                  <c:v>Zn</c:v>
                </c:pt>
                <c:pt idx="7">
                  <c:v>Fe</c:v>
                </c:pt>
              </c:strCache>
            </c:strRef>
          </c:cat>
          <c:val>
            <c:numRef>
              <c:f>('Oil energy graph'!$F$5,'Oil energy graph'!$F$7,'Oil energy graph'!$F$9,'Oil energy graph'!$F$11,'Oil energy graph'!$F$13,'Oil energy graph'!$F$15,'Oil energy graph'!$F$17,'Oil energy graph'!$F$19)</c:f>
              <c:numCache>
                <c:formatCode>General</c:formatCode>
                <c:ptCount val="8"/>
                <c:pt idx="0">
                  <c:v>29.323450000000001</c:v>
                </c:pt>
                <c:pt idx="1">
                  <c:v>31.244399999999999</c:v>
                </c:pt>
                <c:pt idx="2">
                  <c:v>29.563400000000001</c:v>
                </c:pt>
                <c:pt idx="3">
                  <c:v>28.545500000000001</c:v>
                </c:pt>
                <c:pt idx="4">
                  <c:v>26.514150000000001</c:v>
                </c:pt>
                <c:pt idx="5">
                  <c:v>27.308800000000009</c:v>
                </c:pt>
                <c:pt idx="6">
                  <c:v>27.479700000000001</c:v>
                </c:pt>
                <c:pt idx="7">
                  <c:v>27.587599999999991</c:v>
                </c:pt>
              </c:numCache>
            </c:numRef>
          </c:val>
        </c:ser>
        <c:ser>
          <c:idx val="1"/>
          <c:order val="1"/>
          <c:tx>
            <c:v>350 °C</c:v>
          </c:tx>
          <c:spPr>
            <a:noFill/>
            <a:ln>
              <a:solidFill>
                <a:schemeClr val="bg2">
                  <a:lumMod val="25000"/>
                </a:schemeClr>
              </a:solidFill>
            </a:ln>
          </c:spPr>
          <c:invertIfNegative val="0"/>
          <c:errBars>
            <c:errBarType val="both"/>
            <c:errValType val="cust"/>
            <c:noEndCap val="0"/>
            <c:plus>
              <c:numRef>
                <c:f>'Oil energy graph'!$F$25</c:f>
                <c:numCache>
                  <c:formatCode>General</c:formatCode>
                  <c:ptCount val="1"/>
                  <c:pt idx="0">
                    <c:v>0.19078234544457501</c:v>
                  </c:pt>
                </c:numCache>
              </c:numRef>
            </c:plus>
            <c:minus>
              <c:numRef>
                <c:f>'Oil energy graph'!$F$25</c:f>
                <c:numCache>
                  <c:formatCode>General</c:formatCode>
                  <c:ptCount val="1"/>
                  <c:pt idx="0">
                    <c:v>0.19078234544457501</c:v>
                  </c:pt>
                </c:numCache>
              </c:numRef>
            </c:minus>
          </c:errBars>
          <c:cat>
            <c:strRef>
              <c:f>'Oil energy graph'!$B$28:$B$35</c:f>
              <c:strCache>
                <c:ptCount val="8"/>
                <c:pt idx="0">
                  <c:v>None</c:v>
                </c:pt>
                <c:pt idx="1">
                  <c:v>Pb</c:v>
                </c:pt>
                <c:pt idx="2">
                  <c:v>Sn</c:v>
                </c:pt>
                <c:pt idx="3">
                  <c:v>Mg Zn Fe (low uptake)</c:v>
                </c:pt>
                <c:pt idx="4">
                  <c:v>Mg Zn Fe (high uptake)</c:v>
                </c:pt>
                <c:pt idx="5">
                  <c:v>Mg</c:v>
                </c:pt>
                <c:pt idx="6">
                  <c:v>Zn</c:v>
                </c:pt>
                <c:pt idx="7">
                  <c:v>Fe</c:v>
                </c:pt>
              </c:strCache>
            </c:strRef>
          </c:cat>
          <c:val>
            <c:numRef>
              <c:f>('Oil energy graph'!$F$6,'Oil energy graph'!$F$8,'Oil energy graph'!$F$10,'Oil energy graph'!$F$12,'Oil energy graph'!$F$14,'Oil energy graph'!$F$16,'Oil energy graph'!$F$18,'Oil energy graph'!$F$20)</c:f>
              <c:numCache>
                <c:formatCode>General</c:formatCode>
                <c:ptCount val="8"/>
                <c:pt idx="0">
                  <c:v>31.049044444444441</c:v>
                </c:pt>
                <c:pt idx="1">
                  <c:v>30.96524999999999</c:v>
                </c:pt>
                <c:pt idx="2">
                  <c:v>31.353100000000001</c:v>
                </c:pt>
                <c:pt idx="3">
                  <c:v>30.799399999999991</c:v>
                </c:pt>
                <c:pt idx="4">
                  <c:v>30.39054999999999</c:v>
                </c:pt>
                <c:pt idx="5">
                  <c:v>29.736699999999999</c:v>
                </c:pt>
                <c:pt idx="6">
                  <c:v>29.235299999999999</c:v>
                </c:pt>
                <c:pt idx="7">
                  <c:v>29.6983</c:v>
                </c:pt>
              </c:numCache>
            </c:numRef>
          </c:val>
        </c:ser>
        <c:dLbls>
          <c:showLegendKey val="0"/>
          <c:showVal val="0"/>
          <c:showCatName val="0"/>
          <c:showSerName val="0"/>
          <c:showPercent val="0"/>
          <c:showBubbleSize val="0"/>
        </c:dLbls>
        <c:gapWidth val="150"/>
        <c:axId val="259327064"/>
        <c:axId val="259327456"/>
      </c:barChart>
      <c:catAx>
        <c:axId val="259327064"/>
        <c:scaling>
          <c:orientation val="minMax"/>
        </c:scaling>
        <c:delete val="0"/>
        <c:axPos val="b"/>
        <c:numFmt formatCode="General" sourceLinked="1"/>
        <c:majorTickMark val="out"/>
        <c:minorTickMark val="none"/>
        <c:tickLblPos val="nextTo"/>
        <c:txPr>
          <a:bodyPr rot="-1980000" vert="horz"/>
          <a:lstStyle/>
          <a:p>
            <a:pPr>
              <a:defRPr/>
            </a:pPr>
            <a:endParaRPr lang="en-US"/>
          </a:p>
        </c:txPr>
        <c:crossAx val="259327456"/>
        <c:crosses val="autoZero"/>
        <c:auto val="1"/>
        <c:lblAlgn val="ctr"/>
        <c:lblOffset val="100"/>
        <c:noMultiLvlLbl val="0"/>
      </c:catAx>
      <c:valAx>
        <c:axId val="259327456"/>
        <c:scaling>
          <c:orientation val="minMax"/>
          <c:min val="20"/>
        </c:scaling>
        <c:delete val="0"/>
        <c:axPos val="l"/>
        <c:title>
          <c:tx>
            <c:rich>
              <a:bodyPr/>
              <a:lstStyle/>
              <a:p>
                <a:pPr>
                  <a:defRPr/>
                </a:pPr>
                <a:r>
                  <a:rPr lang="en-GB"/>
                  <a:t>Energy content / MJ kg-1</a:t>
                </a:r>
              </a:p>
            </c:rich>
          </c:tx>
          <c:layout>
            <c:manualLayout>
              <c:xMode val="edge"/>
              <c:yMode val="edge"/>
              <c:x val="2.5939570536681398E-3"/>
              <c:y val="9.3907288826250795E-2"/>
            </c:manualLayout>
          </c:layout>
          <c:overlay val="0"/>
        </c:title>
        <c:numFmt formatCode="General" sourceLinked="0"/>
        <c:majorTickMark val="out"/>
        <c:minorTickMark val="none"/>
        <c:tickLblPos val="nextTo"/>
        <c:txPr>
          <a:bodyPr rot="0" vert="horz"/>
          <a:lstStyle/>
          <a:p>
            <a:pPr>
              <a:defRPr/>
            </a:pPr>
            <a:endParaRPr lang="en-US"/>
          </a:p>
        </c:txPr>
        <c:crossAx val="259327064"/>
        <c:crosses val="autoZero"/>
        <c:crossBetween val="between"/>
      </c:valAx>
      <c:spPr>
        <a:noFill/>
      </c:spPr>
    </c:plotArea>
    <c:legend>
      <c:legendPos val="r"/>
      <c:layout>
        <c:manualLayout>
          <c:xMode val="edge"/>
          <c:yMode val="edge"/>
          <c:x val="0.26920301886530001"/>
          <c:y val="4.8364654212401702E-3"/>
          <c:w val="0.29379032412293099"/>
          <c:h val="0.125690683842409"/>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GB"/>
              <a:t>a)</a:t>
            </a:r>
          </a:p>
        </c:rich>
      </c:tx>
      <c:layout>
        <c:manualLayout>
          <c:xMode val="edge"/>
          <c:yMode val="edge"/>
          <c:x val="3.0479720628936598E-3"/>
          <c:y val="0"/>
        </c:manualLayout>
      </c:layout>
      <c:overlay val="0"/>
    </c:title>
    <c:autoTitleDeleted val="0"/>
    <c:plotArea>
      <c:layout>
        <c:manualLayout>
          <c:layoutTarget val="inner"/>
          <c:xMode val="edge"/>
          <c:yMode val="edge"/>
          <c:x val="0.15189679256194699"/>
          <c:y val="4.5549189619780002E-2"/>
          <c:w val="0.80238907424707495"/>
          <c:h val="0.64107683037674801"/>
        </c:manualLayout>
      </c:layout>
      <c:barChart>
        <c:barDir val="col"/>
        <c:grouping val="clustered"/>
        <c:varyColors val="0"/>
        <c:ser>
          <c:idx val="0"/>
          <c:order val="0"/>
          <c:tx>
            <c:v>310 °C</c:v>
          </c:tx>
          <c:spPr>
            <a:solidFill>
              <a:schemeClr val="tx1"/>
            </a:solidFill>
            <a:ln>
              <a:solidFill>
                <a:schemeClr val="tx1"/>
              </a:solidFill>
            </a:ln>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errBars>
            <c:errBarType val="both"/>
            <c:errValType val="cust"/>
            <c:noEndCap val="0"/>
            <c:plus>
              <c:numRef>
                <c:f>'Yields graphs with repeats'!$AU$25</c:f>
                <c:numCache>
                  <c:formatCode>General</c:formatCode>
                  <c:ptCount val="1"/>
                  <c:pt idx="0">
                    <c:v>4.2634966698666341</c:v>
                  </c:pt>
                </c:numCache>
              </c:numRef>
            </c:plus>
            <c:minus>
              <c:numRef>
                <c:f>'Yields graphs with repeats'!$AU$25</c:f>
                <c:numCache>
                  <c:formatCode>General</c:formatCode>
                  <c:ptCount val="1"/>
                  <c:pt idx="0">
                    <c:v>4.2634966698666341</c:v>
                  </c:pt>
                </c:numCache>
              </c:numRef>
            </c:minus>
          </c:errBars>
          <c:cat>
            <c:strRef>
              <c:f>'Yields graphs with repeats'!$B$27:$B$34</c:f>
              <c:strCache>
                <c:ptCount val="8"/>
                <c:pt idx="0">
                  <c:v>None</c:v>
                </c:pt>
                <c:pt idx="1">
                  <c:v>Pb</c:v>
                </c:pt>
                <c:pt idx="2">
                  <c:v>Sn</c:v>
                </c:pt>
                <c:pt idx="3">
                  <c:v>Mg Zn Fe (low uptake)</c:v>
                </c:pt>
                <c:pt idx="4">
                  <c:v>Mg Zn Fe (high uptake)</c:v>
                </c:pt>
                <c:pt idx="5">
                  <c:v>Mg</c:v>
                </c:pt>
                <c:pt idx="6">
                  <c:v>Zn</c:v>
                </c:pt>
                <c:pt idx="7">
                  <c:v>Fe</c:v>
                </c:pt>
              </c:strCache>
            </c:strRef>
          </c:cat>
          <c:val>
            <c:numRef>
              <c:f>('Yields graphs with repeats'!$AU$4,'Yields graphs with repeats'!$AU$6,'Yields graphs with repeats'!$AU$8,'Yields graphs with repeats'!$AU$10,'Yields graphs with repeats'!$AU$12,'Yields graphs with repeats'!$AU$14,'Yields graphs with repeats'!$AU$16,'Yields graphs with repeats'!$AU$18)</c:f>
              <c:numCache>
                <c:formatCode>0.00</c:formatCode>
                <c:ptCount val="8"/>
                <c:pt idx="0">
                  <c:v>31.301538651988739</c:v>
                </c:pt>
                <c:pt idx="1">
                  <c:v>30.721452407734549</c:v>
                </c:pt>
                <c:pt idx="2">
                  <c:v>30.391890651531991</c:v>
                </c:pt>
                <c:pt idx="3">
                  <c:v>28.571228168174891</c:v>
                </c:pt>
                <c:pt idx="4">
                  <c:v>30.702257774686501</c:v>
                </c:pt>
                <c:pt idx="5">
                  <c:v>27.668717724470898</c:v>
                </c:pt>
                <c:pt idx="6">
                  <c:v>29.579115549256581</c:v>
                </c:pt>
                <c:pt idx="7">
                  <c:v>33.507626096882369</c:v>
                </c:pt>
              </c:numCache>
            </c:numRef>
          </c:val>
        </c:ser>
        <c:ser>
          <c:idx val="1"/>
          <c:order val="1"/>
          <c:tx>
            <c:v>350 °C</c:v>
          </c:tx>
          <c:spPr>
            <a:solidFill>
              <a:schemeClr val="bg1"/>
            </a:solidFill>
            <a:ln>
              <a:solidFill>
                <a:schemeClr val="tx1"/>
              </a:solidFill>
            </a:ln>
          </c:spPr>
          <c:invertIfNegative val="0"/>
          <c:errBars>
            <c:errBarType val="both"/>
            <c:errValType val="cust"/>
            <c:noEndCap val="0"/>
            <c:plus>
              <c:numRef>
                <c:f>'Yields graphs with repeats'!$AU$25</c:f>
                <c:numCache>
                  <c:formatCode>General</c:formatCode>
                  <c:ptCount val="1"/>
                  <c:pt idx="0">
                    <c:v>4.2634966698666341</c:v>
                  </c:pt>
                </c:numCache>
              </c:numRef>
            </c:plus>
            <c:minus>
              <c:numRef>
                <c:f>'Yields graphs with repeats'!$AU$25</c:f>
                <c:numCache>
                  <c:formatCode>General</c:formatCode>
                  <c:ptCount val="1"/>
                  <c:pt idx="0">
                    <c:v>4.2634966698666341</c:v>
                  </c:pt>
                </c:numCache>
              </c:numRef>
            </c:minus>
          </c:errBars>
          <c:cat>
            <c:strRef>
              <c:f>'Yields graphs with repeats'!$B$27:$B$34</c:f>
              <c:strCache>
                <c:ptCount val="8"/>
                <c:pt idx="0">
                  <c:v>None</c:v>
                </c:pt>
                <c:pt idx="1">
                  <c:v>Pb</c:v>
                </c:pt>
                <c:pt idx="2">
                  <c:v>Sn</c:v>
                </c:pt>
                <c:pt idx="3">
                  <c:v>Mg Zn Fe (low uptake)</c:v>
                </c:pt>
                <c:pt idx="4">
                  <c:v>Mg Zn Fe (high uptake)</c:v>
                </c:pt>
                <c:pt idx="5">
                  <c:v>Mg</c:v>
                </c:pt>
                <c:pt idx="6">
                  <c:v>Zn</c:v>
                </c:pt>
                <c:pt idx="7">
                  <c:v>Fe</c:v>
                </c:pt>
              </c:strCache>
            </c:strRef>
          </c:cat>
          <c:val>
            <c:numRef>
              <c:f>('Yields graphs with repeats'!$AU$5,'Yields graphs with repeats'!$AU$7,'Yields graphs with repeats'!$AU$9,'Yields graphs with repeats'!$AU$11,'Yields graphs with repeats'!$AU$13,'Yields graphs with repeats'!$AU$15,'Yields graphs with repeats'!$AU$17,'Yields graphs with repeats'!$AU$19)</c:f>
              <c:numCache>
                <c:formatCode>0.00</c:formatCode>
                <c:ptCount val="8"/>
                <c:pt idx="0">
                  <c:v>20.51539123573879</c:v>
                </c:pt>
                <c:pt idx="1">
                  <c:v>24.38256672479422</c:v>
                </c:pt>
                <c:pt idx="2">
                  <c:v>23.393211623479829</c:v>
                </c:pt>
                <c:pt idx="3">
                  <c:v>18.14612369337944</c:v>
                </c:pt>
                <c:pt idx="4">
                  <c:v>27.973552801862741</c:v>
                </c:pt>
                <c:pt idx="5">
                  <c:v>19.813765553162391</c:v>
                </c:pt>
                <c:pt idx="6">
                  <c:v>23.831721975323941</c:v>
                </c:pt>
                <c:pt idx="7">
                  <c:v>25.04150719367852</c:v>
                </c:pt>
              </c:numCache>
            </c:numRef>
          </c:val>
        </c:ser>
        <c:dLbls>
          <c:showLegendKey val="0"/>
          <c:showVal val="0"/>
          <c:showCatName val="0"/>
          <c:showSerName val="0"/>
          <c:showPercent val="0"/>
          <c:showBubbleSize val="0"/>
        </c:dLbls>
        <c:gapWidth val="150"/>
        <c:axId val="259328240"/>
        <c:axId val="259328632"/>
      </c:barChart>
      <c:catAx>
        <c:axId val="259328240"/>
        <c:scaling>
          <c:orientation val="minMax"/>
        </c:scaling>
        <c:delete val="0"/>
        <c:axPos val="b"/>
        <c:numFmt formatCode="General" sourceLinked="1"/>
        <c:majorTickMark val="out"/>
        <c:minorTickMark val="none"/>
        <c:tickLblPos val="nextTo"/>
        <c:txPr>
          <a:bodyPr rot="-1980000" vert="horz"/>
          <a:lstStyle/>
          <a:p>
            <a:pPr>
              <a:defRPr/>
            </a:pPr>
            <a:endParaRPr lang="en-US"/>
          </a:p>
        </c:txPr>
        <c:crossAx val="259328632"/>
        <c:crosses val="autoZero"/>
        <c:auto val="1"/>
        <c:lblAlgn val="ctr"/>
        <c:lblOffset val="100"/>
        <c:noMultiLvlLbl val="0"/>
      </c:catAx>
      <c:valAx>
        <c:axId val="259328632"/>
        <c:scaling>
          <c:orientation val="minMax"/>
        </c:scaling>
        <c:delete val="0"/>
        <c:axPos val="l"/>
        <c:title>
          <c:tx>
            <c:rich>
              <a:bodyPr/>
              <a:lstStyle/>
              <a:p>
                <a:pPr>
                  <a:defRPr/>
                </a:pPr>
                <a:r>
                  <a:rPr lang="en-GB"/>
                  <a:t>Residue yield / %</a:t>
                </a:r>
              </a:p>
            </c:rich>
          </c:tx>
          <c:layout>
            <c:manualLayout>
              <c:xMode val="edge"/>
              <c:yMode val="edge"/>
              <c:x val="1.4869897627245001E-2"/>
              <c:y val="0.18652042035601599"/>
            </c:manualLayout>
          </c:layout>
          <c:overlay val="0"/>
        </c:title>
        <c:numFmt formatCode="0" sourceLinked="0"/>
        <c:majorTickMark val="out"/>
        <c:minorTickMark val="none"/>
        <c:tickLblPos val="nextTo"/>
        <c:txPr>
          <a:bodyPr rot="0" vert="horz"/>
          <a:lstStyle/>
          <a:p>
            <a:pPr>
              <a:defRPr/>
            </a:pPr>
            <a:endParaRPr lang="en-US"/>
          </a:p>
        </c:txPr>
        <c:crossAx val="259328240"/>
        <c:crosses val="autoZero"/>
        <c:crossBetween val="between"/>
      </c:valAx>
      <c:spPr>
        <a:noFill/>
      </c:spPr>
    </c:plotArea>
    <c:legend>
      <c:legendPos val="t"/>
      <c:layout>
        <c:manualLayout>
          <c:xMode val="edge"/>
          <c:yMode val="edge"/>
          <c:x val="0.34318927530217702"/>
          <c:y val="1.5564278003556E-2"/>
          <c:w val="0.349351334432906"/>
          <c:h val="7.48265652781306E-2"/>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b="1"/>
              <a:t>b)</a:t>
            </a:r>
          </a:p>
        </c:rich>
      </c:tx>
      <c:layout>
        <c:manualLayout>
          <c:xMode val="edge"/>
          <c:yMode val="edge"/>
          <c:x val="3.58565737051794E-3"/>
          <c:y val="0"/>
        </c:manualLayout>
      </c:layout>
      <c:overlay val="0"/>
      <c:spPr>
        <a:noFill/>
        <a:ln>
          <a:noFill/>
        </a:ln>
        <a:effectLst/>
      </c:spPr>
    </c:title>
    <c:autoTitleDeleted val="0"/>
    <c:plotArea>
      <c:layout>
        <c:manualLayout>
          <c:layoutTarget val="inner"/>
          <c:xMode val="edge"/>
          <c:yMode val="edge"/>
          <c:x val="0.20255462304374999"/>
          <c:y val="5.0925925925925902E-2"/>
          <c:w val="0.74566175207114005"/>
          <c:h val="0.61670949234699901"/>
        </c:manualLayout>
      </c:layout>
      <c:barChart>
        <c:barDir val="col"/>
        <c:grouping val="stacked"/>
        <c:varyColors val="0"/>
        <c:ser>
          <c:idx val="0"/>
          <c:order val="0"/>
          <c:tx>
            <c:strRef>
              <c:f>Sheet1!$C$7</c:f>
              <c:strCache>
                <c:ptCount val="1"/>
                <c:pt idx="0">
                  <c:v>NH4</c:v>
                </c:pt>
              </c:strCache>
            </c:strRef>
          </c:tx>
          <c:spPr>
            <a:pattFill prst="wdDnDiag">
              <a:fgClr>
                <a:schemeClr val="tx1"/>
              </a:fgClr>
              <a:bgClr>
                <a:schemeClr val="bg1">
                  <a:lumMod val="65000"/>
                </a:schemeClr>
              </a:bgClr>
            </a:pattFill>
            <a:ln>
              <a:solidFill>
                <a:schemeClr val="tx1"/>
              </a:solidFill>
            </a:ln>
            <a:effectLst/>
          </c:spPr>
          <c:invertIfNegative val="0"/>
          <c:dPt>
            <c:idx val="1"/>
            <c:invertIfNegative val="0"/>
            <c:bubble3D val="0"/>
            <c:spPr>
              <a:pattFill prst="wdDnDiag">
                <a:fgClr>
                  <a:schemeClr val="bg1"/>
                </a:fgClr>
                <a:bgClr>
                  <a:schemeClr val="bg1">
                    <a:lumMod val="65000"/>
                  </a:schemeClr>
                </a:bgClr>
              </a:pattFill>
              <a:ln>
                <a:solidFill>
                  <a:schemeClr val="tx1"/>
                </a:solidFill>
              </a:ln>
              <a:effectLst/>
            </c:spPr>
          </c:dPt>
          <c:dPt>
            <c:idx val="3"/>
            <c:invertIfNegative val="0"/>
            <c:bubble3D val="0"/>
            <c:spPr>
              <a:pattFill prst="wdDnDiag">
                <a:fgClr>
                  <a:schemeClr val="bg1"/>
                </a:fgClr>
                <a:bgClr>
                  <a:schemeClr val="bg1">
                    <a:lumMod val="65000"/>
                  </a:schemeClr>
                </a:bgClr>
              </a:pattFill>
              <a:ln>
                <a:solidFill>
                  <a:schemeClr val="tx1"/>
                </a:solidFill>
              </a:ln>
              <a:effectLst/>
            </c:spPr>
          </c:dPt>
          <c:dPt>
            <c:idx val="5"/>
            <c:invertIfNegative val="0"/>
            <c:bubble3D val="0"/>
            <c:spPr>
              <a:pattFill prst="wdDnDiag">
                <a:fgClr>
                  <a:schemeClr val="bg1"/>
                </a:fgClr>
                <a:bgClr>
                  <a:schemeClr val="bg1">
                    <a:lumMod val="65000"/>
                  </a:schemeClr>
                </a:bgClr>
              </a:pattFill>
              <a:ln>
                <a:solidFill>
                  <a:schemeClr val="tx1"/>
                </a:solidFill>
              </a:ln>
              <a:effectLst/>
            </c:spPr>
          </c:dPt>
          <c:dPt>
            <c:idx val="7"/>
            <c:invertIfNegative val="0"/>
            <c:bubble3D val="0"/>
            <c:spPr>
              <a:pattFill prst="wdDnDiag">
                <a:fgClr>
                  <a:schemeClr val="bg1"/>
                </a:fgClr>
                <a:bgClr>
                  <a:schemeClr val="bg1">
                    <a:lumMod val="65000"/>
                  </a:schemeClr>
                </a:bgClr>
              </a:pattFill>
              <a:ln>
                <a:solidFill>
                  <a:schemeClr val="tx1"/>
                </a:solidFill>
              </a:ln>
              <a:effectLst/>
            </c:spPr>
          </c:dPt>
          <c:dPt>
            <c:idx val="9"/>
            <c:invertIfNegative val="0"/>
            <c:bubble3D val="0"/>
            <c:spPr>
              <a:pattFill prst="wdDnDiag">
                <a:fgClr>
                  <a:schemeClr val="bg1"/>
                </a:fgClr>
                <a:bgClr>
                  <a:schemeClr val="bg1">
                    <a:lumMod val="65000"/>
                  </a:schemeClr>
                </a:bgClr>
              </a:pattFill>
              <a:ln>
                <a:solidFill>
                  <a:schemeClr val="tx1"/>
                </a:solidFill>
              </a:ln>
              <a:effectLst/>
            </c:spPr>
          </c:dPt>
          <c:dPt>
            <c:idx val="11"/>
            <c:invertIfNegative val="0"/>
            <c:bubble3D val="0"/>
            <c:spPr>
              <a:pattFill prst="wdDnDiag">
                <a:fgClr>
                  <a:schemeClr val="bg1"/>
                </a:fgClr>
                <a:bgClr>
                  <a:schemeClr val="bg1">
                    <a:lumMod val="65000"/>
                  </a:schemeClr>
                </a:bgClr>
              </a:pattFill>
              <a:ln>
                <a:solidFill>
                  <a:schemeClr val="tx1"/>
                </a:solidFill>
              </a:ln>
              <a:effectLst/>
            </c:spPr>
          </c:dPt>
          <c:dPt>
            <c:idx val="13"/>
            <c:invertIfNegative val="0"/>
            <c:bubble3D val="0"/>
            <c:spPr>
              <a:pattFill prst="wdDnDiag">
                <a:fgClr>
                  <a:schemeClr val="bg1"/>
                </a:fgClr>
                <a:bgClr>
                  <a:schemeClr val="bg1">
                    <a:lumMod val="65000"/>
                  </a:schemeClr>
                </a:bgClr>
              </a:pattFill>
              <a:ln>
                <a:solidFill>
                  <a:schemeClr val="tx1"/>
                </a:solidFill>
              </a:ln>
              <a:effectLst/>
            </c:spPr>
          </c:dPt>
          <c:dPt>
            <c:idx val="15"/>
            <c:invertIfNegative val="0"/>
            <c:bubble3D val="0"/>
            <c:spPr>
              <a:pattFill prst="wdDnDiag">
                <a:fgClr>
                  <a:schemeClr val="bg1"/>
                </a:fgClr>
                <a:bgClr>
                  <a:schemeClr val="bg1">
                    <a:lumMod val="65000"/>
                  </a:schemeClr>
                </a:bgClr>
              </a:pattFill>
              <a:ln>
                <a:solidFill>
                  <a:schemeClr val="tx1"/>
                </a:solidFill>
              </a:ln>
              <a:effectLst/>
            </c:spPr>
          </c:dPt>
          <c:cat>
            <c:strRef>
              <c:f>Sheet1!$A$8:$B$23</c:f>
              <c:strCache>
                <c:ptCount val="16"/>
                <c:pt idx="1">
                  <c:v>None</c:v>
                </c:pt>
                <c:pt idx="3">
                  <c:v>Pb</c:v>
                </c:pt>
                <c:pt idx="5">
                  <c:v>Sn </c:v>
                </c:pt>
                <c:pt idx="7">
                  <c:v>Mg Fe Fe (low uptake)</c:v>
                </c:pt>
                <c:pt idx="9">
                  <c:v>Mg Zn Fe (high uptake)</c:v>
                </c:pt>
                <c:pt idx="11">
                  <c:v>Mg </c:v>
                </c:pt>
                <c:pt idx="13">
                  <c:v>Zn </c:v>
                </c:pt>
                <c:pt idx="15">
                  <c:v>Fe </c:v>
                </c:pt>
              </c:strCache>
            </c:strRef>
          </c:cat>
          <c:val>
            <c:numRef>
              <c:f>Sheet1!$C$8:$C$23</c:f>
              <c:numCache>
                <c:formatCode>0.00</c:formatCode>
                <c:ptCount val="16"/>
                <c:pt idx="0">
                  <c:v>7860.2402109169016</c:v>
                </c:pt>
                <c:pt idx="1">
                  <c:v>9416.9435124146366</c:v>
                </c:pt>
                <c:pt idx="2">
                  <c:v>8722.8234124606497</c:v>
                </c:pt>
                <c:pt idx="3">
                  <c:v>10289.66711156473</c:v>
                </c:pt>
                <c:pt idx="4">
                  <c:v>6284.7232472324704</c:v>
                </c:pt>
                <c:pt idx="5">
                  <c:v>7773.210332103321</c:v>
                </c:pt>
                <c:pt idx="6">
                  <c:v>9091.5027829313549</c:v>
                </c:pt>
                <c:pt idx="7">
                  <c:v>10754.582560296851</c:v>
                </c:pt>
                <c:pt idx="8">
                  <c:v>10172.504638218919</c:v>
                </c:pt>
                <c:pt idx="9">
                  <c:v>11756.259886729809</c:v>
                </c:pt>
                <c:pt idx="10">
                  <c:v>8869.7588126159571</c:v>
                </c:pt>
                <c:pt idx="11">
                  <c:v>10643.71057513915</c:v>
                </c:pt>
                <c:pt idx="12">
                  <c:v>9089.6792305438885</c:v>
                </c:pt>
                <c:pt idx="13">
                  <c:v>10033.9146567718</c:v>
                </c:pt>
                <c:pt idx="14">
                  <c:v>9562.7087198515765</c:v>
                </c:pt>
                <c:pt idx="15">
                  <c:v>9701.2987012986996</c:v>
                </c:pt>
              </c:numCache>
            </c:numRef>
          </c:val>
        </c:ser>
        <c:ser>
          <c:idx val="1"/>
          <c:order val="1"/>
          <c:tx>
            <c:strRef>
              <c:f>Sheet1!$D$7</c:f>
              <c:strCache>
                <c:ptCount val="1"/>
                <c:pt idx="0">
                  <c:v>Total N</c:v>
                </c:pt>
              </c:strCache>
            </c:strRef>
          </c:tx>
          <c:spPr>
            <a:solidFill>
              <a:schemeClr val="bg1"/>
            </a:solidFill>
            <a:ln>
              <a:solidFill>
                <a:schemeClr val="tx1"/>
              </a:solidFill>
            </a:ln>
            <a:effectLst/>
          </c:spPr>
          <c:invertIfNegative val="0"/>
          <c:dPt>
            <c:idx val="0"/>
            <c:invertIfNegative val="0"/>
            <c:bubble3D val="0"/>
            <c:spPr>
              <a:solidFill>
                <a:schemeClr val="tx1"/>
              </a:solidFill>
              <a:ln>
                <a:solidFill>
                  <a:schemeClr val="tx1"/>
                </a:solidFill>
              </a:ln>
              <a:effectLst/>
            </c:spPr>
          </c:dPt>
          <c:dPt>
            <c:idx val="2"/>
            <c:invertIfNegative val="0"/>
            <c:bubble3D val="0"/>
            <c:spPr>
              <a:solidFill>
                <a:schemeClr val="tx1"/>
              </a:solidFill>
              <a:ln>
                <a:solidFill>
                  <a:schemeClr val="tx1"/>
                </a:solidFill>
              </a:ln>
              <a:effectLst/>
            </c:spPr>
          </c:dPt>
          <c:dPt>
            <c:idx val="4"/>
            <c:invertIfNegative val="0"/>
            <c:bubble3D val="0"/>
            <c:spPr>
              <a:solidFill>
                <a:schemeClr val="tx1"/>
              </a:solidFill>
              <a:ln>
                <a:solidFill>
                  <a:schemeClr val="tx1"/>
                </a:solidFill>
              </a:ln>
              <a:effectLst/>
            </c:spPr>
          </c:dPt>
          <c:dPt>
            <c:idx val="6"/>
            <c:invertIfNegative val="0"/>
            <c:bubble3D val="0"/>
            <c:spPr>
              <a:solidFill>
                <a:schemeClr val="tx1"/>
              </a:solidFill>
              <a:ln>
                <a:solidFill>
                  <a:schemeClr val="tx1"/>
                </a:solidFill>
              </a:ln>
              <a:effectLst/>
            </c:spPr>
          </c:dPt>
          <c:dPt>
            <c:idx val="8"/>
            <c:invertIfNegative val="0"/>
            <c:bubble3D val="0"/>
            <c:spPr>
              <a:solidFill>
                <a:schemeClr val="tx1"/>
              </a:solidFill>
              <a:ln>
                <a:solidFill>
                  <a:schemeClr val="tx1"/>
                </a:solidFill>
              </a:ln>
              <a:effectLst/>
            </c:spPr>
          </c:dPt>
          <c:dPt>
            <c:idx val="10"/>
            <c:invertIfNegative val="0"/>
            <c:bubble3D val="0"/>
            <c:spPr>
              <a:solidFill>
                <a:schemeClr val="tx1"/>
              </a:solidFill>
              <a:ln>
                <a:solidFill>
                  <a:schemeClr val="tx1"/>
                </a:solidFill>
              </a:ln>
              <a:effectLst/>
            </c:spPr>
          </c:dPt>
          <c:dPt>
            <c:idx val="12"/>
            <c:invertIfNegative val="0"/>
            <c:bubble3D val="0"/>
            <c:spPr>
              <a:solidFill>
                <a:schemeClr val="tx1"/>
              </a:solidFill>
              <a:ln>
                <a:solidFill>
                  <a:schemeClr val="tx1"/>
                </a:solidFill>
              </a:ln>
              <a:effectLst/>
            </c:spPr>
          </c:dPt>
          <c:dPt>
            <c:idx val="14"/>
            <c:invertIfNegative val="0"/>
            <c:bubble3D val="0"/>
            <c:spPr>
              <a:solidFill>
                <a:schemeClr val="tx1"/>
              </a:solidFill>
              <a:ln>
                <a:solidFill>
                  <a:schemeClr val="tx1"/>
                </a:solidFill>
              </a:ln>
              <a:effectLst/>
            </c:spPr>
          </c:dPt>
          <c:cat>
            <c:strRef>
              <c:f>Sheet1!$A$8:$B$23</c:f>
              <c:strCache>
                <c:ptCount val="16"/>
                <c:pt idx="1">
                  <c:v>None</c:v>
                </c:pt>
                <c:pt idx="3">
                  <c:v>Pb</c:v>
                </c:pt>
                <c:pt idx="5">
                  <c:v>Sn </c:v>
                </c:pt>
                <c:pt idx="7">
                  <c:v>Mg Fe Fe (low uptake)</c:v>
                </c:pt>
                <c:pt idx="9">
                  <c:v>Mg Zn Fe (high uptake)</c:v>
                </c:pt>
                <c:pt idx="11">
                  <c:v>Mg </c:v>
                </c:pt>
                <c:pt idx="13">
                  <c:v>Zn </c:v>
                </c:pt>
                <c:pt idx="15">
                  <c:v>Fe </c:v>
                </c:pt>
              </c:strCache>
            </c:strRef>
          </c:cat>
          <c:val>
            <c:numRef>
              <c:f>Sheet1!$D$8:$D$23</c:f>
              <c:numCache>
                <c:formatCode>0.00</c:formatCode>
                <c:ptCount val="16"/>
                <c:pt idx="0">
                  <c:v>6378.5597890830968</c:v>
                </c:pt>
                <c:pt idx="1">
                  <c:v>5072.7564875853641</c:v>
                </c:pt>
                <c:pt idx="2">
                  <c:v>6314.626587539351</c:v>
                </c:pt>
                <c:pt idx="3">
                  <c:v>3949.1328884352661</c:v>
                </c:pt>
                <c:pt idx="4">
                  <c:v>10215.27675276753</c:v>
                </c:pt>
                <c:pt idx="5">
                  <c:v>7926.7896678966799</c:v>
                </c:pt>
                <c:pt idx="6">
                  <c:v>6908.4972170686469</c:v>
                </c:pt>
                <c:pt idx="7">
                  <c:v>4645.4174397031529</c:v>
                </c:pt>
                <c:pt idx="8">
                  <c:v>3727.495361781077</c:v>
                </c:pt>
                <c:pt idx="9">
                  <c:v>1993.7401132701891</c:v>
                </c:pt>
                <c:pt idx="10">
                  <c:v>5630.241187384042</c:v>
                </c:pt>
                <c:pt idx="11">
                  <c:v>1956.289424860852</c:v>
                </c:pt>
                <c:pt idx="12">
                  <c:v>5810.3207694561097</c:v>
                </c:pt>
                <c:pt idx="13">
                  <c:v>3666.085343228202</c:v>
                </c:pt>
                <c:pt idx="14">
                  <c:v>4587.2912801484244</c:v>
                </c:pt>
                <c:pt idx="15">
                  <c:v>3598.7012987012999</c:v>
                </c:pt>
              </c:numCache>
            </c:numRef>
          </c:val>
        </c:ser>
        <c:dLbls>
          <c:showLegendKey val="0"/>
          <c:showVal val="0"/>
          <c:showCatName val="0"/>
          <c:showSerName val="0"/>
          <c:showPercent val="0"/>
          <c:showBubbleSize val="0"/>
        </c:dLbls>
        <c:gapWidth val="150"/>
        <c:overlap val="100"/>
        <c:axId val="259490848"/>
        <c:axId val="259491240"/>
      </c:barChart>
      <c:catAx>
        <c:axId val="25949084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198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9491240"/>
        <c:crosses val="autoZero"/>
        <c:auto val="1"/>
        <c:lblAlgn val="ctr"/>
        <c:lblOffset val="100"/>
        <c:tickMarkSkip val="2"/>
        <c:noMultiLvlLbl val="0"/>
      </c:catAx>
      <c:valAx>
        <c:axId val="259491240"/>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N content (mg / L)</a:t>
                </a:r>
              </a:p>
            </c:rich>
          </c:tx>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9490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GB"/>
              <a:t>c)</a:t>
            </a:r>
          </a:p>
        </c:rich>
      </c:tx>
      <c:layout>
        <c:manualLayout>
          <c:xMode val="edge"/>
          <c:yMode val="edge"/>
          <c:x val="3.82376952044872E-3"/>
          <c:y val="0"/>
        </c:manualLayout>
      </c:layout>
      <c:overlay val="0"/>
    </c:title>
    <c:autoTitleDeleted val="0"/>
    <c:plotArea>
      <c:layout>
        <c:manualLayout>
          <c:layoutTarget val="inner"/>
          <c:xMode val="edge"/>
          <c:yMode val="edge"/>
          <c:x val="0.190177231190583"/>
          <c:y val="8.1161893573787197E-2"/>
          <c:w val="0.78634433237651302"/>
          <c:h val="0.61882897828295702"/>
        </c:manualLayout>
      </c:layout>
      <c:barChart>
        <c:barDir val="col"/>
        <c:grouping val="clustered"/>
        <c:varyColors val="0"/>
        <c:ser>
          <c:idx val="0"/>
          <c:order val="0"/>
          <c:tx>
            <c:v>310 °C</c:v>
          </c:tx>
          <c:spPr>
            <a:solidFill>
              <a:schemeClr val="tx1"/>
            </a:solidFill>
            <a:ln>
              <a:solidFill>
                <a:schemeClr val="tx1"/>
              </a:solidFill>
            </a:ln>
          </c:spPr>
          <c:invertIfNegative val="0"/>
          <c:errBars>
            <c:errBarType val="both"/>
            <c:errValType val="cust"/>
            <c:noEndCap val="0"/>
            <c:plus>
              <c:numRef>
                <c:f>'AP graphs'!$J$20</c:f>
                <c:numCache>
                  <c:formatCode>General</c:formatCode>
                  <c:ptCount val="1"/>
                  <c:pt idx="0">
                    <c:v>70</c:v>
                  </c:pt>
                </c:numCache>
              </c:numRef>
            </c:plus>
            <c:minus>
              <c:numRef>
                <c:f>'AP graphs'!$J$20</c:f>
                <c:numCache>
                  <c:formatCode>General</c:formatCode>
                  <c:ptCount val="1"/>
                  <c:pt idx="0">
                    <c:v>70</c:v>
                  </c:pt>
                </c:numCache>
              </c:numRef>
            </c:minus>
          </c:errBars>
          <c:cat>
            <c:strRef>
              <c:f>'AP graphs'!$B$30:$B$37</c:f>
              <c:strCache>
                <c:ptCount val="8"/>
                <c:pt idx="0">
                  <c:v>None</c:v>
                </c:pt>
                <c:pt idx="1">
                  <c:v>Pb</c:v>
                </c:pt>
                <c:pt idx="2">
                  <c:v>Sn</c:v>
                </c:pt>
                <c:pt idx="3">
                  <c:v>Mg Zn Fe (low uptake)</c:v>
                </c:pt>
                <c:pt idx="4">
                  <c:v>Mg Zn Fe (high uptake)</c:v>
                </c:pt>
                <c:pt idx="5">
                  <c:v>Mg</c:v>
                </c:pt>
                <c:pt idx="6">
                  <c:v>Zn</c:v>
                </c:pt>
                <c:pt idx="7">
                  <c:v>Fe</c:v>
                </c:pt>
              </c:strCache>
            </c:strRef>
          </c:cat>
          <c:val>
            <c:numRef>
              <c:f>('AP graphs'!$J$5,'AP graphs'!$J$7,'AP graphs'!$J$9,'AP graphs'!$J$11,'AP graphs'!$J$13,'AP graphs'!$J$15,'AP graphs'!$J$17,'AP graphs'!$J$19)</c:f>
              <c:numCache>
                <c:formatCode>General</c:formatCode>
                <c:ptCount val="8"/>
                <c:pt idx="0">
                  <c:v>1678.75</c:v>
                </c:pt>
                <c:pt idx="1">
                  <c:v>1645</c:v>
                </c:pt>
                <c:pt idx="2">
                  <c:v>1790</c:v>
                </c:pt>
                <c:pt idx="3">
                  <c:v>1820</c:v>
                </c:pt>
                <c:pt idx="4">
                  <c:v>11.5</c:v>
                </c:pt>
                <c:pt idx="5">
                  <c:v>13.85</c:v>
                </c:pt>
                <c:pt idx="6">
                  <c:v>460</c:v>
                </c:pt>
                <c:pt idx="7">
                  <c:v>9.5</c:v>
                </c:pt>
              </c:numCache>
            </c:numRef>
          </c:val>
        </c:ser>
        <c:ser>
          <c:idx val="1"/>
          <c:order val="1"/>
          <c:tx>
            <c:v>350 °C</c:v>
          </c:tx>
          <c:spPr>
            <a:solidFill>
              <a:schemeClr val="bg1"/>
            </a:solidFill>
            <a:ln>
              <a:solidFill>
                <a:schemeClr val="tx1"/>
              </a:solidFill>
            </a:ln>
          </c:spPr>
          <c:invertIfNegative val="0"/>
          <c:errBars>
            <c:errBarType val="both"/>
            <c:errValType val="cust"/>
            <c:noEndCap val="0"/>
            <c:plus>
              <c:numRef>
                <c:f>'AP graphs'!$J$20</c:f>
                <c:numCache>
                  <c:formatCode>General</c:formatCode>
                  <c:ptCount val="1"/>
                  <c:pt idx="0">
                    <c:v>70</c:v>
                  </c:pt>
                </c:numCache>
              </c:numRef>
            </c:plus>
            <c:minus>
              <c:numRef>
                <c:f>'AP graphs'!$J$20</c:f>
                <c:numCache>
                  <c:formatCode>General</c:formatCode>
                  <c:ptCount val="1"/>
                  <c:pt idx="0">
                    <c:v>70</c:v>
                  </c:pt>
                </c:numCache>
              </c:numRef>
            </c:minus>
          </c:errBars>
          <c:cat>
            <c:strRef>
              <c:f>'AP graphs'!$B$30:$B$37</c:f>
              <c:strCache>
                <c:ptCount val="8"/>
                <c:pt idx="0">
                  <c:v>None</c:v>
                </c:pt>
                <c:pt idx="1">
                  <c:v>Pb</c:v>
                </c:pt>
                <c:pt idx="2">
                  <c:v>Sn</c:v>
                </c:pt>
                <c:pt idx="3">
                  <c:v>Mg Zn Fe (low uptake)</c:v>
                </c:pt>
                <c:pt idx="4">
                  <c:v>Mg Zn Fe (high uptake)</c:v>
                </c:pt>
                <c:pt idx="5">
                  <c:v>Mg</c:v>
                </c:pt>
                <c:pt idx="6">
                  <c:v>Zn</c:v>
                </c:pt>
                <c:pt idx="7">
                  <c:v>Fe</c:v>
                </c:pt>
              </c:strCache>
            </c:strRef>
          </c:cat>
          <c:val>
            <c:numRef>
              <c:f>('AP graphs'!$J$4,'AP graphs'!$J$6,'AP graphs'!$J$8,'AP graphs'!$J$10,'AP graphs'!$J$12,'AP graphs'!$J$14,'AP graphs'!$J$16,'AP graphs'!$J$18)</c:f>
              <c:numCache>
                <c:formatCode>General</c:formatCode>
                <c:ptCount val="8"/>
                <c:pt idx="0">
                  <c:v>1745</c:v>
                </c:pt>
                <c:pt idx="1">
                  <c:v>1685</c:v>
                </c:pt>
                <c:pt idx="2">
                  <c:v>1805</c:v>
                </c:pt>
                <c:pt idx="3">
                  <c:v>1920</c:v>
                </c:pt>
                <c:pt idx="4">
                  <c:v>13.9</c:v>
                </c:pt>
                <c:pt idx="5">
                  <c:v>15.25</c:v>
                </c:pt>
                <c:pt idx="6">
                  <c:v>720</c:v>
                </c:pt>
                <c:pt idx="7">
                  <c:v>11.25</c:v>
                </c:pt>
              </c:numCache>
            </c:numRef>
          </c:val>
        </c:ser>
        <c:dLbls>
          <c:showLegendKey val="0"/>
          <c:showVal val="0"/>
          <c:showCatName val="0"/>
          <c:showSerName val="0"/>
          <c:showPercent val="0"/>
          <c:showBubbleSize val="0"/>
        </c:dLbls>
        <c:gapWidth val="150"/>
        <c:axId val="259492024"/>
        <c:axId val="259492416"/>
      </c:barChart>
      <c:catAx>
        <c:axId val="259492024"/>
        <c:scaling>
          <c:orientation val="minMax"/>
        </c:scaling>
        <c:delete val="0"/>
        <c:axPos val="b"/>
        <c:numFmt formatCode="@" sourceLinked="0"/>
        <c:majorTickMark val="out"/>
        <c:minorTickMark val="none"/>
        <c:tickLblPos val="nextTo"/>
        <c:txPr>
          <a:bodyPr rot="-1980000" vert="horz"/>
          <a:lstStyle/>
          <a:p>
            <a:pPr>
              <a:defRPr/>
            </a:pPr>
            <a:endParaRPr lang="en-US"/>
          </a:p>
        </c:txPr>
        <c:crossAx val="259492416"/>
        <c:crosses val="autoZero"/>
        <c:auto val="1"/>
        <c:lblAlgn val="ctr"/>
        <c:lblOffset val="100"/>
        <c:noMultiLvlLbl val="0"/>
      </c:catAx>
      <c:valAx>
        <c:axId val="259492416"/>
        <c:scaling>
          <c:orientation val="minMax"/>
          <c:max val="2000"/>
          <c:min val="0"/>
        </c:scaling>
        <c:delete val="0"/>
        <c:axPos val="l"/>
        <c:title>
          <c:tx>
            <c:rich>
              <a:bodyPr/>
              <a:lstStyle/>
              <a:p>
                <a:pPr>
                  <a:defRPr/>
                </a:pPr>
                <a:r>
                  <a:rPr lang="en-GB"/>
                  <a:t>Phosphate / mg L</a:t>
                </a:r>
                <a:r>
                  <a:rPr lang="en-GB" baseline="30000"/>
                  <a:t>-1</a:t>
                </a:r>
              </a:p>
            </c:rich>
          </c:tx>
          <c:layout>
            <c:manualLayout>
              <c:xMode val="edge"/>
              <c:yMode val="edge"/>
              <c:x val="1.6394104583081E-3"/>
              <c:y val="0.15733108966217901"/>
            </c:manualLayout>
          </c:layout>
          <c:overlay val="0"/>
        </c:title>
        <c:numFmt formatCode="#,##0" sourceLinked="0"/>
        <c:majorTickMark val="out"/>
        <c:minorTickMark val="none"/>
        <c:tickLblPos val="nextTo"/>
        <c:txPr>
          <a:bodyPr rot="0" vert="horz"/>
          <a:lstStyle/>
          <a:p>
            <a:pPr>
              <a:defRPr/>
            </a:pPr>
            <a:endParaRPr lang="en-US"/>
          </a:p>
        </c:txPr>
        <c:crossAx val="259492024"/>
        <c:crosses val="autoZero"/>
        <c:crossBetween val="between"/>
        <c:majorUnit val="500"/>
      </c:valAx>
      <c:spPr>
        <a:noFill/>
      </c:spPr>
    </c:plotArea>
    <c:legend>
      <c:legendPos val="r"/>
      <c:layout>
        <c:manualLayout>
          <c:xMode val="edge"/>
          <c:yMode val="edge"/>
          <c:x val="0.65817812464731895"/>
          <c:y val="3.2499364998729997E-2"/>
          <c:w val="0.23415777548203401"/>
          <c:h val="0.24090531593998499"/>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GB"/>
              <a:t>d)</a:t>
            </a:r>
          </a:p>
        </c:rich>
      </c:tx>
      <c:layout>
        <c:manualLayout>
          <c:xMode val="edge"/>
          <c:yMode val="edge"/>
          <c:x val="3.0689363211360301E-3"/>
          <c:y val="0"/>
        </c:manualLayout>
      </c:layout>
      <c:overlay val="0"/>
    </c:title>
    <c:autoTitleDeleted val="0"/>
    <c:plotArea>
      <c:layout>
        <c:manualLayout>
          <c:layoutTarget val="inner"/>
          <c:xMode val="edge"/>
          <c:yMode val="edge"/>
          <c:x val="0.15342873485482"/>
          <c:y val="3.75116652085156E-2"/>
          <c:w val="0.728118529233305"/>
          <c:h val="0.67661885636271302"/>
        </c:manualLayout>
      </c:layout>
      <c:barChart>
        <c:barDir val="col"/>
        <c:grouping val="clustered"/>
        <c:varyColors val="0"/>
        <c:ser>
          <c:idx val="2"/>
          <c:order val="0"/>
          <c:tx>
            <c:v>310 °C</c:v>
          </c:tx>
          <c:spPr>
            <a:solidFill>
              <a:sysClr val="windowText" lastClr="000000"/>
            </a:solidFill>
            <a:ln>
              <a:solidFill>
                <a:schemeClr val="tx1"/>
              </a:solidFill>
            </a:ln>
          </c:spPr>
          <c:invertIfNegative val="0"/>
          <c:cat>
            <c:strRef>
              <c:f>'AP metal graphs'!$A$36:$A$38</c:f>
              <c:strCache>
                <c:ptCount val="3"/>
                <c:pt idx="0">
                  <c:v>Fe (ca. 14,500 mg/L)</c:v>
                </c:pt>
                <c:pt idx="1">
                  <c:v>Zn (ca. 5800 mg/L)</c:v>
                </c:pt>
                <c:pt idx="2">
                  <c:v>Mg (ca. 2660 mg/L)</c:v>
                </c:pt>
              </c:strCache>
            </c:strRef>
          </c:cat>
          <c:val>
            <c:numRef>
              <c:f>('AP metal graphs'!$F$12,'AP metal graphs'!$I$12,'AP metal graphs'!$L$12)</c:f>
              <c:numCache>
                <c:formatCode>General</c:formatCode>
                <c:ptCount val="3"/>
                <c:pt idx="0">
                  <c:v>3.5244034877749797E-2</c:v>
                </c:pt>
                <c:pt idx="1">
                  <c:v>4.0814436425523528</c:v>
                </c:pt>
                <c:pt idx="2">
                  <c:v>37.496943133764603</c:v>
                </c:pt>
              </c:numCache>
            </c:numRef>
          </c:val>
        </c:ser>
        <c:ser>
          <c:idx val="3"/>
          <c:order val="1"/>
          <c:tx>
            <c:v>350 °C</c:v>
          </c:tx>
          <c:spPr>
            <a:solidFill>
              <a:schemeClr val="bg1"/>
            </a:solidFill>
            <a:ln>
              <a:solidFill>
                <a:schemeClr val="tx1"/>
              </a:solidFill>
            </a:ln>
          </c:spPr>
          <c:invertIfNegative val="0"/>
          <c:cat>
            <c:strRef>
              <c:f>'AP metal graphs'!$A$36:$A$38</c:f>
              <c:strCache>
                <c:ptCount val="3"/>
                <c:pt idx="0">
                  <c:v>Fe (ca. 14,500 mg/L)</c:v>
                </c:pt>
                <c:pt idx="1">
                  <c:v>Zn (ca. 5800 mg/L)</c:v>
                </c:pt>
                <c:pt idx="2">
                  <c:v>Mg (ca. 2660 mg/L)</c:v>
                </c:pt>
              </c:strCache>
            </c:strRef>
          </c:cat>
          <c:val>
            <c:numRef>
              <c:f>('AP metal graphs'!$F$13,'AP metal graphs'!$I$13,'AP metal graphs'!$L$13)</c:f>
              <c:numCache>
                <c:formatCode>General</c:formatCode>
                <c:ptCount val="3"/>
                <c:pt idx="0">
                  <c:v>5.8045714457466299E-2</c:v>
                </c:pt>
                <c:pt idx="1">
                  <c:v>1.037900354470096</c:v>
                </c:pt>
                <c:pt idx="2">
                  <c:v>39.110090843772213</c:v>
                </c:pt>
              </c:numCache>
            </c:numRef>
          </c:val>
        </c:ser>
        <c:dLbls>
          <c:showLegendKey val="0"/>
          <c:showVal val="0"/>
          <c:showCatName val="0"/>
          <c:showSerName val="0"/>
          <c:showPercent val="0"/>
          <c:showBubbleSize val="0"/>
        </c:dLbls>
        <c:gapWidth val="150"/>
        <c:axId val="259493200"/>
        <c:axId val="259493592"/>
      </c:barChart>
      <c:catAx>
        <c:axId val="259493200"/>
        <c:scaling>
          <c:orientation val="minMax"/>
        </c:scaling>
        <c:delete val="0"/>
        <c:axPos val="b"/>
        <c:numFmt formatCode="General" sourceLinked="1"/>
        <c:majorTickMark val="out"/>
        <c:minorTickMark val="none"/>
        <c:tickLblPos val="nextTo"/>
        <c:txPr>
          <a:bodyPr rot="-1980000"/>
          <a:lstStyle/>
          <a:p>
            <a:pPr>
              <a:defRPr/>
            </a:pPr>
            <a:endParaRPr lang="en-US"/>
          </a:p>
        </c:txPr>
        <c:crossAx val="259493592"/>
        <c:crosses val="autoZero"/>
        <c:auto val="1"/>
        <c:lblAlgn val="ctr"/>
        <c:lblOffset val="100"/>
        <c:noMultiLvlLbl val="0"/>
      </c:catAx>
      <c:valAx>
        <c:axId val="259493592"/>
        <c:scaling>
          <c:orientation val="minMax"/>
        </c:scaling>
        <c:delete val="0"/>
        <c:axPos val="l"/>
        <c:title>
          <c:tx>
            <c:rich>
              <a:bodyPr rot="-5400000" vert="horz"/>
              <a:lstStyle/>
              <a:p>
                <a:pPr>
                  <a:defRPr/>
                </a:pPr>
                <a:r>
                  <a:rPr lang="en-US"/>
                  <a:t>Metal recovery in water phase / %</a:t>
                </a:r>
              </a:p>
            </c:rich>
          </c:tx>
          <c:layout>
            <c:manualLayout>
              <c:xMode val="edge"/>
              <c:yMode val="edge"/>
              <c:x val="1.8549922372531901E-2"/>
              <c:y val="7.5258763017526001E-2"/>
            </c:manualLayout>
          </c:layout>
          <c:overlay val="0"/>
        </c:title>
        <c:numFmt formatCode="General" sourceLinked="1"/>
        <c:majorTickMark val="out"/>
        <c:minorTickMark val="none"/>
        <c:tickLblPos val="nextTo"/>
        <c:crossAx val="259493200"/>
        <c:crosses val="autoZero"/>
        <c:crossBetween val="between"/>
      </c:valAx>
      <c:spPr>
        <a:noFill/>
      </c:spPr>
    </c:plotArea>
    <c:legend>
      <c:legendPos val="r"/>
      <c:layout>
        <c:manualLayout>
          <c:xMode val="edge"/>
          <c:yMode val="edge"/>
          <c:x val="0.22201594970644101"/>
          <c:y val="7.6194993014986001E-2"/>
          <c:w val="0.19065792973714499"/>
          <c:h val="0.18228743332486699"/>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GB"/>
              <a:t>a)</a:t>
            </a:r>
          </a:p>
        </c:rich>
      </c:tx>
      <c:layout>
        <c:manualLayout>
          <c:xMode val="edge"/>
          <c:yMode val="edge"/>
          <c:x val="4.2282195405636304E-3"/>
          <c:y val="2.0752269779507101E-2"/>
        </c:manualLayout>
      </c:layout>
      <c:overlay val="0"/>
    </c:title>
    <c:autoTitleDeleted val="0"/>
    <c:plotArea>
      <c:layout>
        <c:manualLayout>
          <c:layoutTarget val="inner"/>
          <c:xMode val="edge"/>
          <c:yMode val="edge"/>
          <c:x val="0.15906798358087801"/>
          <c:y val="7.1079792068793002E-2"/>
          <c:w val="0.70502652358328599"/>
          <c:h val="0.596285833920565"/>
        </c:manualLayout>
      </c:layout>
      <c:barChart>
        <c:barDir val="col"/>
        <c:grouping val="clustered"/>
        <c:varyColors val="0"/>
        <c:ser>
          <c:idx val="0"/>
          <c:order val="0"/>
          <c:tx>
            <c:v>310 °C</c:v>
          </c:tx>
          <c:spPr>
            <a:solidFill>
              <a:schemeClr val="tx1"/>
            </a:solidFill>
            <a:ln>
              <a:solidFill>
                <a:schemeClr val="tx1"/>
              </a:solidFill>
            </a:ln>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errBars>
            <c:errBarType val="both"/>
            <c:errValType val="cust"/>
            <c:noEndCap val="0"/>
            <c:plus>
              <c:numRef>
                <c:f>'Yields graphs with repeats'!$BB$25</c:f>
                <c:numCache>
                  <c:formatCode>General</c:formatCode>
                  <c:ptCount val="1"/>
                  <c:pt idx="0">
                    <c:v>5.0639246966491698E-2</c:v>
                  </c:pt>
                </c:numCache>
              </c:numRef>
            </c:plus>
            <c:minus>
              <c:numRef>
                <c:f>'Yields graphs with repeats'!$BB$25</c:f>
                <c:numCache>
                  <c:formatCode>General</c:formatCode>
                  <c:ptCount val="1"/>
                  <c:pt idx="0">
                    <c:v>5.0639246966491698E-2</c:v>
                  </c:pt>
                </c:numCache>
              </c:numRef>
            </c:minus>
          </c:errBars>
          <c:cat>
            <c:strRef>
              <c:f>'Yields graphs with repeats'!$B$27:$B$34</c:f>
              <c:strCache>
                <c:ptCount val="8"/>
                <c:pt idx="0">
                  <c:v>None</c:v>
                </c:pt>
                <c:pt idx="1">
                  <c:v>Pb</c:v>
                </c:pt>
                <c:pt idx="2">
                  <c:v>Sn</c:v>
                </c:pt>
                <c:pt idx="3">
                  <c:v>Mg Zn Fe (low uptake)</c:v>
                </c:pt>
                <c:pt idx="4">
                  <c:v>Mg Zn Fe (high uptake)</c:v>
                </c:pt>
                <c:pt idx="5">
                  <c:v>Mg</c:v>
                </c:pt>
                <c:pt idx="6">
                  <c:v>Zn</c:v>
                </c:pt>
                <c:pt idx="7">
                  <c:v>Fe</c:v>
                </c:pt>
              </c:strCache>
            </c:strRef>
          </c:cat>
          <c:val>
            <c:numRef>
              <c:f>('Yields graphs with repeats'!$BB$4,'Yields graphs with repeats'!$BB$6,'Yields graphs with repeats'!$BB$8,'Yields graphs with repeats'!$BB$10,'Yields graphs with repeats'!$BB$12,'Yields graphs with repeats'!$BB$14,'Yields graphs with repeats'!$BB$16,'Yields graphs with repeats'!$BB$18)</c:f>
              <c:numCache>
                <c:formatCode>0.000</c:formatCode>
                <c:ptCount val="8"/>
                <c:pt idx="0">
                  <c:v>0.41249999999999998</c:v>
                </c:pt>
                <c:pt idx="1">
                  <c:v>0.40899999999999997</c:v>
                </c:pt>
                <c:pt idx="2">
                  <c:v>0.48299999999999998</c:v>
                </c:pt>
                <c:pt idx="3">
                  <c:v>0.46700000000000003</c:v>
                </c:pt>
                <c:pt idx="4">
                  <c:v>1.7565</c:v>
                </c:pt>
                <c:pt idx="5">
                  <c:v>0.73899999999999999</c:v>
                </c:pt>
                <c:pt idx="6">
                  <c:v>0.70150000000000001</c:v>
                </c:pt>
                <c:pt idx="7">
                  <c:v>1.096666666666666</c:v>
                </c:pt>
              </c:numCache>
            </c:numRef>
          </c:val>
        </c:ser>
        <c:ser>
          <c:idx val="1"/>
          <c:order val="1"/>
          <c:tx>
            <c:v>350 °C</c:v>
          </c:tx>
          <c:spPr>
            <a:solidFill>
              <a:schemeClr val="bg1"/>
            </a:solidFill>
            <a:ln>
              <a:solidFill>
                <a:schemeClr val="tx1"/>
              </a:solidFill>
            </a:ln>
          </c:spPr>
          <c:invertIfNegative val="0"/>
          <c:errBars>
            <c:errBarType val="both"/>
            <c:errValType val="cust"/>
            <c:noEndCap val="0"/>
            <c:plus>
              <c:numRef>
                <c:f>'Yields graphs with repeats'!$BB$25</c:f>
                <c:numCache>
                  <c:formatCode>General</c:formatCode>
                  <c:ptCount val="1"/>
                  <c:pt idx="0">
                    <c:v>5.0639246966491698E-2</c:v>
                  </c:pt>
                </c:numCache>
              </c:numRef>
            </c:plus>
            <c:minus>
              <c:numRef>
                <c:f>'Yields graphs with repeats'!$BB$25</c:f>
                <c:numCache>
                  <c:formatCode>General</c:formatCode>
                  <c:ptCount val="1"/>
                  <c:pt idx="0">
                    <c:v>5.0639246966491698E-2</c:v>
                  </c:pt>
                </c:numCache>
              </c:numRef>
            </c:minus>
          </c:errBars>
          <c:cat>
            <c:strRef>
              <c:f>'Yields graphs with repeats'!$B$27:$B$34</c:f>
              <c:strCache>
                <c:ptCount val="8"/>
                <c:pt idx="0">
                  <c:v>None</c:v>
                </c:pt>
                <c:pt idx="1">
                  <c:v>Pb</c:v>
                </c:pt>
                <c:pt idx="2">
                  <c:v>Sn</c:v>
                </c:pt>
                <c:pt idx="3">
                  <c:v>Mg Zn Fe (low uptake)</c:v>
                </c:pt>
                <c:pt idx="4">
                  <c:v>Mg Zn Fe (high uptake)</c:v>
                </c:pt>
                <c:pt idx="5">
                  <c:v>Mg</c:v>
                </c:pt>
                <c:pt idx="6">
                  <c:v>Zn</c:v>
                </c:pt>
                <c:pt idx="7">
                  <c:v>Fe</c:v>
                </c:pt>
              </c:strCache>
            </c:strRef>
          </c:cat>
          <c:val>
            <c:numRef>
              <c:f>('Yields graphs with repeats'!$BB$5,'Yields graphs with repeats'!$BB$7,'Yields graphs with repeats'!$BB$9,'Yields graphs with repeats'!$BB$11,'Yields graphs with repeats'!$BB$13,'Yields graphs with repeats'!$BB$15,'Yields graphs with repeats'!$BB$17,'Yields graphs with repeats'!$BB$19)</c:f>
              <c:numCache>
                <c:formatCode>0.000</c:formatCode>
                <c:ptCount val="8"/>
                <c:pt idx="0">
                  <c:v>0.41033333333333299</c:v>
                </c:pt>
                <c:pt idx="1">
                  <c:v>0.34449999999999997</c:v>
                </c:pt>
                <c:pt idx="2">
                  <c:v>0.38200000000000001</c:v>
                </c:pt>
                <c:pt idx="3">
                  <c:v>0.38300000000000001</c:v>
                </c:pt>
                <c:pt idx="4">
                  <c:v>1.57</c:v>
                </c:pt>
                <c:pt idx="5">
                  <c:v>0.72699999999999998</c:v>
                </c:pt>
                <c:pt idx="6">
                  <c:v>0.70899999999999996</c:v>
                </c:pt>
                <c:pt idx="7">
                  <c:v>0.94699999999999995</c:v>
                </c:pt>
              </c:numCache>
            </c:numRef>
          </c:val>
        </c:ser>
        <c:dLbls>
          <c:showLegendKey val="0"/>
          <c:showVal val="0"/>
          <c:showCatName val="0"/>
          <c:showSerName val="0"/>
          <c:showPercent val="0"/>
          <c:showBubbleSize val="0"/>
        </c:dLbls>
        <c:gapWidth val="150"/>
        <c:axId val="259490456"/>
        <c:axId val="259891248"/>
      </c:barChart>
      <c:catAx>
        <c:axId val="259490456"/>
        <c:scaling>
          <c:orientation val="minMax"/>
        </c:scaling>
        <c:delete val="0"/>
        <c:axPos val="b"/>
        <c:numFmt formatCode="General" sourceLinked="1"/>
        <c:majorTickMark val="out"/>
        <c:minorTickMark val="none"/>
        <c:tickLblPos val="nextTo"/>
        <c:txPr>
          <a:bodyPr rot="-1980000" vert="horz"/>
          <a:lstStyle/>
          <a:p>
            <a:pPr>
              <a:defRPr/>
            </a:pPr>
            <a:endParaRPr lang="en-US"/>
          </a:p>
        </c:txPr>
        <c:crossAx val="259891248"/>
        <c:crosses val="autoZero"/>
        <c:auto val="1"/>
        <c:lblAlgn val="ctr"/>
        <c:lblOffset val="100"/>
        <c:noMultiLvlLbl val="0"/>
      </c:catAx>
      <c:valAx>
        <c:axId val="259891248"/>
        <c:scaling>
          <c:orientation val="minMax"/>
          <c:max val="2"/>
          <c:min val="0"/>
        </c:scaling>
        <c:delete val="0"/>
        <c:axPos val="l"/>
        <c:title>
          <c:tx>
            <c:rich>
              <a:bodyPr/>
              <a:lstStyle/>
              <a:p>
                <a:pPr>
                  <a:defRPr/>
                </a:pPr>
                <a:r>
                  <a:rPr lang="en-GB"/>
                  <a:t>Yield / g</a:t>
                </a:r>
              </a:p>
            </c:rich>
          </c:tx>
          <c:layout>
            <c:manualLayout>
              <c:xMode val="edge"/>
              <c:yMode val="edge"/>
              <c:x val="5.9331306777001399E-3"/>
              <c:y val="0.26086420048557801"/>
            </c:manualLayout>
          </c:layout>
          <c:overlay val="0"/>
        </c:title>
        <c:numFmt formatCode="General" sourceLinked="0"/>
        <c:majorTickMark val="out"/>
        <c:minorTickMark val="none"/>
        <c:tickLblPos val="nextTo"/>
        <c:txPr>
          <a:bodyPr rot="0" vert="horz"/>
          <a:lstStyle/>
          <a:p>
            <a:pPr>
              <a:defRPr/>
            </a:pPr>
            <a:endParaRPr lang="en-US"/>
          </a:p>
        </c:txPr>
        <c:crossAx val="259490456"/>
        <c:crosses val="autoZero"/>
        <c:crossBetween val="between"/>
        <c:majorUnit val="0.2"/>
        <c:minorUnit val="0.04"/>
      </c:valAx>
      <c:spPr>
        <a:solidFill>
          <a:schemeClr val="bg1"/>
        </a:solidFill>
        <a:ln>
          <a:noFill/>
        </a:ln>
      </c:spPr>
    </c:plotArea>
    <c:legend>
      <c:legendPos val="r"/>
      <c:layout>
        <c:manualLayout>
          <c:xMode val="edge"/>
          <c:yMode val="edge"/>
          <c:x val="0.229402816147209"/>
          <c:y val="8.1106651551824505E-2"/>
          <c:w val="0.209766978509448"/>
          <c:h val="0.245142314409142"/>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b="1"/>
              <a:t>b)</a:t>
            </a:r>
          </a:p>
        </c:rich>
      </c:tx>
      <c:layout>
        <c:manualLayout>
          <c:xMode val="edge"/>
          <c:yMode val="edge"/>
          <c:x val="1.1596675415573401E-3"/>
          <c:y val="0"/>
        </c:manualLayout>
      </c:layout>
      <c:overlay val="0"/>
      <c:spPr>
        <a:noFill/>
        <a:ln>
          <a:noFill/>
        </a:ln>
        <a:effectLst/>
      </c:spPr>
    </c:title>
    <c:autoTitleDeleted val="0"/>
    <c:plotArea>
      <c:layout>
        <c:manualLayout>
          <c:layoutTarget val="inner"/>
          <c:xMode val="edge"/>
          <c:yMode val="edge"/>
          <c:x val="0.20719000678733801"/>
          <c:y val="6.9629714653015304E-2"/>
          <c:w val="0.75708784503768201"/>
          <c:h val="0.57379766304722102"/>
        </c:manualLayout>
      </c:layout>
      <c:barChart>
        <c:barDir val="col"/>
        <c:grouping val="clustered"/>
        <c:varyColors val="0"/>
        <c:ser>
          <c:idx val="0"/>
          <c:order val="0"/>
          <c:tx>
            <c:strRef>
              <c:f>'Char CHN'!$W$3</c:f>
              <c:strCache>
                <c:ptCount val="1"/>
                <c:pt idx="0">
                  <c:v>310 °C</c:v>
                </c:pt>
              </c:strCache>
            </c:strRef>
          </c:tx>
          <c:spPr>
            <a:solidFill>
              <a:schemeClr val="tx1"/>
            </a:solidFill>
            <a:ln>
              <a:noFill/>
            </a:ln>
            <a:effectLst/>
          </c:spPr>
          <c:invertIfNegative val="0"/>
          <c:cat>
            <c:strRef>
              <c:f>'Char CHN'!$V$4:$V$8</c:f>
              <c:strCache>
                <c:ptCount val="5"/>
                <c:pt idx="0">
                  <c:v>None</c:v>
                </c:pt>
                <c:pt idx="1">
                  <c:v>Mg Zn Fe (high uptake)</c:v>
                </c:pt>
                <c:pt idx="2">
                  <c:v>Mg</c:v>
                </c:pt>
                <c:pt idx="3">
                  <c:v>Zn</c:v>
                </c:pt>
                <c:pt idx="4">
                  <c:v>Fe</c:v>
                </c:pt>
              </c:strCache>
            </c:strRef>
          </c:cat>
          <c:val>
            <c:numRef>
              <c:f>'Char CHN'!$W$4:$W$8</c:f>
              <c:numCache>
                <c:formatCode>0.00%</c:formatCode>
                <c:ptCount val="5"/>
                <c:pt idx="0">
                  <c:v>2.2143113858539398E-2</c:v>
                </c:pt>
                <c:pt idx="1">
                  <c:v>9.2925819436457696E-2</c:v>
                </c:pt>
                <c:pt idx="2">
                  <c:v>4.5087924094307098E-2</c:v>
                </c:pt>
                <c:pt idx="3">
                  <c:v>3.59221247843588E-2</c:v>
                </c:pt>
                <c:pt idx="4">
                  <c:v>6.7666666666666694E-2</c:v>
                </c:pt>
              </c:numCache>
            </c:numRef>
          </c:val>
        </c:ser>
        <c:ser>
          <c:idx val="1"/>
          <c:order val="1"/>
          <c:tx>
            <c:strRef>
              <c:f>'Char CHN'!$X$3</c:f>
              <c:strCache>
                <c:ptCount val="1"/>
                <c:pt idx="0">
                  <c:v>350 °C</c:v>
                </c:pt>
              </c:strCache>
            </c:strRef>
          </c:tx>
          <c:spPr>
            <a:solidFill>
              <a:schemeClr val="bg1"/>
            </a:solidFill>
            <a:ln>
              <a:solidFill>
                <a:schemeClr val="tx1"/>
              </a:solidFill>
            </a:ln>
            <a:effectLst/>
          </c:spPr>
          <c:invertIfNegative val="0"/>
          <c:cat>
            <c:strRef>
              <c:f>'Char CHN'!$V$4:$V$8</c:f>
              <c:strCache>
                <c:ptCount val="5"/>
                <c:pt idx="0">
                  <c:v>None</c:v>
                </c:pt>
                <c:pt idx="1">
                  <c:v>Mg Zn Fe (high uptake)</c:v>
                </c:pt>
                <c:pt idx="2">
                  <c:v>Mg</c:v>
                </c:pt>
                <c:pt idx="3">
                  <c:v>Zn</c:v>
                </c:pt>
                <c:pt idx="4">
                  <c:v>Fe</c:v>
                </c:pt>
              </c:strCache>
            </c:strRef>
          </c:cat>
          <c:val>
            <c:numRef>
              <c:f>'Char CHN'!$X$4:$X$8</c:f>
              <c:numCache>
                <c:formatCode>0.00%</c:formatCode>
                <c:ptCount val="5"/>
                <c:pt idx="0">
                  <c:v>1.51839850488787E-2</c:v>
                </c:pt>
                <c:pt idx="1">
                  <c:v>3.9182288671650398E-2</c:v>
                </c:pt>
                <c:pt idx="2">
                  <c:v>4.9288844163312202E-2</c:v>
                </c:pt>
                <c:pt idx="3">
                  <c:v>4.0362852213916098E-2</c:v>
                </c:pt>
                <c:pt idx="4">
                  <c:v>1.88147498562392E-2</c:v>
                </c:pt>
              </c:numCache>
            </c:numRef>
          </c:val>
        </c:ser>
        <c:dLbls>
          <c:showLegendKey val="0"/>
          <c:showVal val="0"/>
          <c:showCatName val="0"/>
          <c:showSerName val="0"/>
          <c:showPercent val="0"/>
          <c:showBubbleSize val="0"/>
        </c:dLbls>
        <c:gapWidth val="219"/>
        <c:overlap val="-27"/>
        <c:axId val="259892424"/>
        <c:axId val="259892816"/>
      </c:barChart>
      <c:catAx>
        <c:axId val="2598924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186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9892816"/>
        <c:crosses val="autoZero"/>
        <c:auto val="1"/>
        <c:lblAlgn val="ctr"/>
        <c:lblOffset val="100"/>
        <c:noMultiLvlLbl val="0"/>
      </c:catAx>
      <c:valAx>
        <c:axId val="259892816"/>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Carbon from original </a:t>
                </a:r>
              </a:p>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biomass (%)</a:t>
                </a:r>
              </a:p>
            </c:rich>
          </c:tx>
          <c:layout>
            <c:manualLayout>
              <c:xMode val="edge"/>
              <c:yMode val="edge"/>
              <c:x val="1.7865118356409099E-2"/>
              <c:y val="0.13168889603085299"/>
            </c:manualLayout>
          </c:layout>
          <c:overlay val="0"/>
          <c:spPr>
            <a:noFill/>
            <a:ln>
              <a:noFill/>
            </a:ln>
            <a:effectLst/>
          </c:sp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9892424"/>
        <c:crosses val="autoZero"/>
        <c:crossBetween val="between"/>
      </c:valAx>
      <c:spPr>
        <a:noFill/>
        <a:ln>
          <a:noFill/>
        </a:ln>
        <a:effectLst/>
      </c:spPr>
    </c:plotArea>
    <c:legend>
      <c:legendPos val="b"/>
      <c:layout>
        <c:manualLayout>
          <c:xMode val="edge"/>
          <c:yMode val="edge"/>
          <c:x val="0.50397468354430397"/>
          <c:y val="0.11182596967045801"/>
          <c:w val="0.392897679324895"/>
          <c:h val="7.50124614029799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0.39951</cdr:x>
      <cdr:y>0.00882</cdr:y>
    </cdr:from>
    <cdr:to>
      <cdr:x>0.80867</cdr:x>
      <cdr:y>0.07686</cdr:y>
    </cdr:to>
    <cdr:pic>
      <cdr:nvPicPr>
        <cdr:cNvPr id="2" name="Picture 1"/>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l="27709" t="1910" r="31046" b="91214"/>
        <a:stretch xmlns:a="http://schemas.openxmlformats.org/drawingml/2006/main"/>
      </cdr:blipFill>
      <cdr:spPr>
        <a:xfrm xmlns:a="http://schemas.openxmlformats.org/drawingml/2006/main">
          <a:off x="1146175" y="22225"/>
          <a:ext cx="1173844" cy="17145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3EE5AAB-781B-4F3F-A172-DF5DC23F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13057</Words>
  <Characters>74425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87308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cc245</dc:creator>
  <cp:lastModifiedBy>cc245</cp:lastModifiedBy>
  <cp:revision>6</cp:revision>
  <cp:lastPrinted>2015-06-16T13:30:00Z</cp:lastPrinted>
  <dcterms:created xsi:type="dcterms:W3CDTF">2015-07-15T16:20:00Z</dcterms:created>
  <dcterms:modified xsi:type="dcterms:W3CDTF">2015-07-17T08:24:00Z</dcterms:modified>
</cp:coreProperties>
</file>