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330" w:rsidRPr="000B68D9" w:rsidRDefault="00223330" w:rsidP="00223330">
      <w:pPr>
        <w:spacing w:line="360" w:lineRule="auto"/>
        <w:jc w:val="center"/>
        <w:rPr>
          <w:b/>
        </w:rPr>
      </w:pPr>
      <w:r>
        <w:rPr>
          <w:b/>
        </w:rPr>
        <w:t>A methodology for the assessment of local-scale c</w:t>
      </w:r>
      <w:r w:rsidRPr="000B68D9">
        <w:rPr>
          <w:b/>
        </w:rPr>
        <w:t>hanges</w:t>
      </w:r>
      <w:r>
        <w:rPr>
          <w:b/>
        </w:rPr>
        <w:t xml:space="preserve"> in m</w:t>
      </w:r>
      <w:r w:rsidRPr="000B68D9">
        <w:rPr>
          <w:b/>
        </w:rPr>
        <w:t xml:space="preserve">arine </w:t>
      </w:r>
      <w:r>
        <w:rPr>
          <w:b/>
        </w:rPr>
        <w:t>environmental b</w:t>
      </w:r>
      <w:r w:rsidRPr="000B68D9">
        <w:rPr>
          <w:b/>
        </w:rPr>
        <w:t>enefits</w:t>
      </w:r>
      <w:r>
        <w:rPr>
          <w:b/>
        </w:rPr>
        <w:t xml:space="preserve"> and its application</w:t>
      </w:r>
    </w:p>
    <w:p w:rsidR="00223330" w:rsidRDefault="00223330" w:rsidP="00223330">
      <w:pPr>
        <w:spacing w:line="360" w:lineRule="auto"/>
        <w:jc w:val="left"/>
      </w:pPr>
    </w:p>
    <w:p w:rsidR="00223330" w:rsidRDefault="00223330" w:rsidP="00223330">
      <w:pPr>
        <w:spacing w:line="360" w:lineRule="auto"/>
        <w:jc w:val="center"/>
        <w:rPr>
          <w:szCs w:val="22"/>
          <w:vertAlign w:val="superscript"/>
        </w:rPr>
      </w:pPr>
      <w:r w:rsidRPr="00345042">
        <w:rPr>
          <w:szCs w:val="22"/>
        </w:rPr>
        <w:t>Tara Hooper</w:t>
      </w:r>
      <w:r>
        <w:rPr>
          <w:szCs w:val="22"/>
        </w:rPr>
        <w:t>*</w:t>
      </w:r>
      <w:r w:rsidRPr="00166CF9">
        <w:rPr>
          <w:szCs w:val="22"/>
          <w:vertAlign w:val="superscript"/>
        </w:rPr>
        <w:t>1</w:t>
      </w:r>
      <w:r w:rsidR="00325AF6">
        <w:rPr>
          <w:szCs w:val="22"/>
        </w:rPr>
        <w:t>,</w:t>
      </w:r>
      <w:r>
        <w:rPr>
          <w:szCs w:val="22"/>
        </w:rPr>
        <w:t xml:space="preserve"> Philip Cooper</w:t>
      </w:r>
      <w:r>
        <w:rPr>
          <w:szCs w:val="22"/>
          <w:vertAlign w:val="superscript"/>
        </w:rPr>
        <w:t>2</w:t>
      </w:r>
      <w:r>
        <w:rPr>
          <w:szCs w:val="22"/>
        </w:rPr>
        <w:t>, Alistair Hunt</w:t>
      </w:r>
      <w:r>
        <w:rPr>
          <w:szCs w:val="22"/>
          <w:vertAlign w:val="superscript"/>
        </w:rPr>
        <w:t>2</w:t>
      </w:r>
      <w:r>
        <w:rPr>
          <w:szCs w:val="22"/>
        </w:rPr>
        <w:t xml:space="preserve"> and Melanie Austen</w:t>
      </w:r>
      <w:r w:rsidRPr="00166CF9">
        <w:rPr>
          <w:szCs w:val="22"/>
          <w:vertAlign w:val="superscript"/>
        </w:rPr>
        <w:t>1</w:t>
      </w:r>
    </w:p>
    <w:p w:rsidR="00223330" w:rsidRPr="00345042" w:rsidRDefault="00223330" w:rsidP="00223330">
      <w:pPr>
        <w:spacing w:line="360" w:lineRule="auto"/>
        <w:jc w:val="center"/>
        <w:rPr>
          <w:szCs w:val="22"/>
        </w:rPr>
      </w:pPr>
    </w:p>
    <w:p w:rsidR="00223330" w:rsidRDefault="00223330" w:rsidP="00223330">
      <w:pPr>
        <w:spacing w:line="360" w:lineRule="auto"/>
        <w:jc w:val="left"/>
        <w:rPr>
          <w:szCs w:val="22"/>
        </w:rPr>
      </w:pPr>
      <w:r>
        <w:rPr>
          <w:szCs w:val="22"/>
          <w:vertAlign w:val="superscript"/>
        </w:rPr>
        <w:t>1</w:t>
      </w:r>
      <w:r>
        <w:rPr>
          <w:szCs w:val="22"/>
        </w:rPr>
        <w:t xml:space="preserve"> </w:t>
      </w:r>
      <w:r w:rsidRPr="00345042">
        <w:rPr>
          <w:szCs w:val="22"/>
        </w:rPr>
        <w:t>Plymouth Marine Laboratory, Prospect Place, The Hoe, Plymouth, PL1 3DH</w:t>
      </w:r>
    </w:p>
    <w:p w:rsidR="00223330" w:rsidRDefault="00223330" w:rsidP="00223330">
      <w:pPr>
        <w:spacing w:line="360" w:lineRule="auto"/>
        <w:jc w:val="left"/>
        <w:rPr>
          <w:szCs w:val="22"/>
        </w:rPr>
      </w:pPr>
      <w:r>
        <w:rPr>
          <w:szCs w:val="22"/>
          <w:vertAlign w:val="superscript"/>
        </w:rPr>
        <w:t>2</w:t>
      </w:r>
      <w:r>
        <w:rPr>
          <w:szCs w:val="22"/>
        </w:rPr>
        <w:t xml:space="preserve"> University of Bath, </w:t>
      </w:r>
      <w:proofErr w:type="spellStart"/>
      <w:r>
        <w:t>Claverton</w:t>
      </w:r>
      <w:proofErr w:type="spellEnd"/>
      <w:r>
        <w:t xml:space="preserve"> Down, Bath, BA2 7AY, UK.</w:t>
      </w:r>
    </w:p>
    <w:p w:rsidR="00223330" w:rsidRPr="00345042" w:rsidRDefault="00223330" w:rsidP="00223330">
      <w:pPr>
        <w:spacing w:line="360" w:lineRule="auto"/>
        <w:jc w:val="left"/>
        <w:rPr>
          <w:szCs w:val="22"/>
        </w:rPr>
      </w:pPr>
    </w:p>
    <w:p w:rsidR="00223330" w:rsidRPr="00345042" w:rsidRDefault="00223330" w:rsidP="00223330">
      <w:pPr>
        <w:spacing w:line="360" w:lineRule="auto"/>
        <w:jc w:val="left"/>
        <w:rPr>
          <w:szCs w:val="22"/>
        </w:rPr>
      </w:pPr>
      <w:r>
        <w:rPr>
          <w:szCs w:val="22"/>
          <w:vertAlign w:val="superscript"/>
        </w:rPr>
        <w:t>*</w:t>
      </w:r>
      <w:r>
        <w:rPr>
          <w:szCs w:val="22"/>
        </w:rPr>
        <w:t xml:space="preserve"> Corresponding author</w:t>
      </w:r>
    </w:p>
    <w:p w:rsidR="00223330" w:rsidRPr="00166CF9" w:rsidRDefault="00223330" w:rsidP="00223330">
      <w:pPr>
        <w:spacing w:line="360" w:lineRule="auto"/>
        <w:jc w:val="left"/>
        <w:rPr>
          <w:i/>
          <w:szCs w:val="22"/>
        </w:rPr>
      </w:pPr>
      <w:r w:rsidRPr="00166CF9">
        <w:rPr>
          <w:i/>
          <w:szCs w:val="22"/>
        </w:rPr>
        <w:t>email:</w:t>
      </w:r>
      <w:r>
        <w:rPr>
          <w:szCs w:val="22"/>
        </w:rPr>
        <w:t xml:space="preserve"> </w:t>
      </w:r>
      <w:r w:rsidRPr="00345042">
        <w:rPr>
          <w:szCs w:val="22"/>
        </w:rPr>
        <w:t>tarh@pml.ac.uk</w:t>
      </w:r>
      <w:r>
        <w:rPr>
          <w:szCs w:val="22"/>
        </w:rPr>
        <w:t xml:space="preserve">; </w:t>
      </w:r>
      <w:r w:rsidRPr="00166CF9">
        <w:rPr>
          <w:i/>
          <w:szCs w:val="22"/>
        </w:rPr>
        <w:t xml:space="preserve"> </w:t>
      </w:r>
      <w:proofErr w:type="spellStart"/>
      <w:r w:rsidRPr="00166CF9">
        <w:rPr>
          <w:i/>
          <w:szCs w:val="22"/>
        </w:rPr>
        <w:t>tel</w:t>
      </w:r>
      <w:proofErr w:type="spellEnd"/>
      <w:r w:rsidRPr="00166CF9">
        <w:rPr>
          <w:i/>
          <w:szCs w:val="22"/>
        </w:rPr>
        <w:t>:</w:t>
      </w:r>
      <w:r>
        <w:rPr>
          <w:szCs w:val="22"/>
        </w:rPr>
        <w:t xml:space="preserve"> + 44 (0) 1752 633100 </w:t>
      </w:r>
    </w:p>
    <w:p w:rsidR="00223330" w:rsidRPr="00345042" w:rsidRDefault="00223330" w:rsidP="00223330">
      <w:pPr>
        <w:jc w:val="left"/>
        <w:rPr>
          <w:szCs w:val="22"/>
        </w:rPr>
      </w:pPr>
    </w:p>
    <w:p w:rsidR="00223330" w:rsidRDefault="00223330" w:rsidP="00223330">
      <w:pPr>
        <w:spacing w:line="360" w:lineRule="auto"/>
        <w:jc w:val="left"/>
      </w:pPr>
    </w:p>
    <w:p w:rsidR="00223330" w:rsidRDefault="00223330" w:rsidP="00223330"/>
    <w:p w:rsidR="00223330" w:rsidRDefault="00223330">
      <w:pPr>
        <w:jc w:val="left"/>
        <w:rPr>
          <w:b/>
        </w:rPr>
      </w:pPr>
      <w:r>
        <w:rPr>
          <w:b/>
        </w:rPr>
        <w:br w:type="page"/>
      </w:r>
    </w:p>
    <w:p w:rsidR="00D37E89" w:rsidRPr="000B68D9" w:rsidRDefault="00D37E89" w:rsidP="00D37E89">
      <w:pPr>
        <w:spacing w:line="360" w:lineRule="auto"/>
        <w:jc w:val="center"/>
        <w:rPr>
          <w:b/>
        </w:rPr>
      </w:pPr>
      <w:r>
        <w:rPr>
          <w:b/>
        </w:rPr>
        <w:lastRenderedPageBreak/>
        <w:t>A methodology for the assessment of local-scale c</w:t>
      </w:r>
      <w:r w:rsidRPr="000B68D9">
        <w:rPr>
          <w:b/>
        </w:rPr>
        <w:t>hanges</w:t>
      </w:r>
      <w:r>
        <w:rPr>
          <w:b/>
        </w:rPr>
        <w:t xml:space="preserve"> in m</w:t>
      </w:r>
      <w:r w:rsidRPr="000B68D9">
        <w:rPr>
          <w:b/>
        </w:rPr>
        <w:t xml:space="preserve">arine </w:t>
      </w:r>
      <w:r>
        <w:rPr>
          <w:b/>
        </w:rPr>
        <w:t>environmental b</w:t>
      </w:r>
      <w:r w:rsidRPr="000B68D9">
        <w:rPr>
          <w:b/>
        </w:rPr>
        <w:t>enefits</w:t>
      </w:r>
      <w:r>
        <w:rPr>
          <w:b/>
        </w:rPr>
        <w:t xml:space="preserve"> and its application</w:t>
      </w:r>
    </w:p>
    <w:p w:rsidR="00D37E89" w:rsidRDefault="00D37E89" w:rsidP="00CF681C">
      <w:pPr>
        <w:spacing w:line="360" w:lineRule="auto"/>
        <w:jc w:val="left"/>
        <w:rPr>
          <w:b/>
        </w:rPr>
      </w:pPr>
    </w:p>
    <w:p w:rsidR="000B68D9" w:rsidRPr="00213236" w:rsidRDefault="000B68D9" w:rsidP="00CF681C">
      <w:pPr>
        <w:spacing w:line="360" w:lineRule="auto"/>
        <w:jc w:val="left"/>
        <w:rPr>
          <w:b/>
        </w:rPr>
      </w:pPr>
      <w:r w:rsidRPr="00213236">
        <w:rPr>
          <w:b/>
        </w:rPr>
        <w:t>Abstract</w:t>
      </w:r>
    </w:p>
    <w:p w:rsidR="000B68D9" w:rsidRDefault="00357282" w:rsidP="00CF681C">
      <w:pPr>
        <w:spacing w:line="360" w:lineRule="auto"/>
        <w:jc w:val="left"/>
      </w:pPr>
      <w:r>
        <w:t xml:space="preserve">Local-scale planning decisions are required by the </w:t>
      </w:r>
      <w:r w:rsidRPr="000C0F8F">
        <w:t>existing Environmental Impact Assessment process</w:t>
      </w:r>
      <w:r>
        <w:t xml:space="preserve"> to take account of the implications of a development on a range of environmental and social factors, </w:t>
      </w:r>
      <w:r w:rsidR="007025A1">
        <w:t xml:space="preserve">and could therefore be supported by an ecosystem services approach. </w:t>
      </w:r>
      <w:r w:rsidR="00A14B50">
        <w:t>H</w:t>
      </w:r>
      <w:r w:rsidR="007025A1">
        <w:t xml:space="preserve">owever, </w:t>
      </w:r>
      <w:r w:rsidR="00911337">
        <w:t>e</w:t>
      </w:r>
      <w:r w:rsidR="007025A1" w:rsidRPr="000C0F8F">
        <w:t>mpirical assessments</w:t>
      </w:r>
      <w:r w:rsidR="007025A1">
        <w:t xml:space="preserve"> at a local scale </w:t>
      </w:r>
      <w:r w:rsidR="007025A1" w:rsidRPr="000C0F8F">
        <w:t>within the marine environment</w:t>
      </w:r>
      <w:r w:rsidR="007025A1">
        <w:t xml:space="preserve"> have</w:t>
      </w:r>
      <w:r w:rsidR="007025A1" w:rsidRPr="000C0F8F">
        <w:t xml:space="preserve"> focus</w:t>
      </w:r>
      <w:r w:rsidR="007025A1">
        <w:t>ed</w:t>
      </w:r>
      <w:r w:rsidR="007025A1" w:rsidRPr="000C0F8F">
        <w:t xml:space="preserve"> on</w:t>
      </w:r>
      <w:r w:rsidR="00CA32A5">
        <w:t xml:space="preserve"> only</w:t>
      </w:r>
      <w:r w:rsidR="007025A1" w:rsidRPr="000C0F8F">
        <w:t xml:space="preserve"> a single or limited set of services</w:t>
      </w:r>
      <w:r w:rsidR="007025A1">
        <w:t>.</w:t>
      </w:r>
      <w:r w:rsidR="00274C8D">
        <w:t xml:space="preserve">  </w:t>
      </w:r>
      <w:r w:rsidR="00213236">
        <w:t xml:space="preserve">This </w:t>
      </w:r>
      <w:r w:rsidR="00911337">
        <w:t>paper test</w:t>
      </w:r>
      <w:r w:rsidR="003811C9">
        <w:t>s</w:t>
      </w:r>
      <w:r w:rsidR="00911337">
        <w:t xml:space="preserve"> the applicability of the ecosystem services approach to environmental impact appraisal by </w:t>
      </w:r>
      <w:r w:rsidR="00911337" w:rsidRPr="000C0F8F">
        <w:t>consider</w:t>
      </w:r>
      <w:r w:rsidR="00911337">
        <w:t>ing</w:t>
      </w:r>
      <w:r w:rsidR="00911337" w:rsidRPr="000C0F8F">
        <w:t xml:space="preserve"> how the </w:t>
      </w:r>
      <w:r w:rsidR="00911337">
        <w:t>identification and quantification</w:t>
      </w:r>
      <w:r w:rsidR="00911337" w:rsidRPr="000C0F8F">
        <w:t xml:space="preserve"> of a comprehensive suite of </w:t>
      </w:r>
      <w:r w:rsidR="00911337">
        <w:t xml:space="preserve">benefits provided at a local scale </w:t>
      </w:r>
      <w:r w:rsidR="00911337" w:rsidRPr="000C0F8F">
        <w:t>might proceed in practice</w:t>
      </w:r>
      <w:r w:rsidR="00911337">
        <w:t>.</w:t>
      </w:r>
      <w:r w:rsidR="003811C9">
        <w:t xml:space="preserve"> </w:t>
      </w:r>
      <w:r w:rsidR="00274C8D">
        <w:t>A methodology for conducting an Environmental Benefits Assessment (EBA) is proposed, the underlying framework for which follows the recent literature by placing the emphasis on ecosystem ben</w:t>
      </w:r>
      <w:r w:rsidR="00A14B50">
        <w:t xml:space="preserve">efits, as opposed to services. </w:t>
      </w:r>
      <w:r w:rsidR="000B68D9">
        <w:t>The EBA methodolo</w:t>
      </w:r>
      <w:r w:rsidR="005A5EFC">
        <w:t xml:space="preserve">gy </w:t>
      </w:r>
      <w:r w:rsidR="00274C8D">
        <w:t xml:space="preserve">also proposes metrics that can be quantified at local scale, and </w:t>
      </w:r>
      <w:r w:rsidR="005A5EFC">
        <w:t xml:space="preserve">is tested using a case study of </w:t>
      </w:r>
      <w:r w:rsidR="005A5EFC" w:rsidRPr="000C0F8F">
        <w:t>a hypothetical tidal barrage</w:t>
      </w:r>
      <w:r w:rsidR="005A5EFC">
        <w:t xml:space="preserve"> development</w:t>
      </w:r>
      <w:r w:rsidR="005A5EFC" w:rsidRPr="000C0F8F">
        <w:t xml:space="preserve"> in the Taw Torridge estuary in North Devon</w:t>
      </w:r>
      <w:r w:rsidR="005A5EFC">
        <w:t>, UK</w:t>
      </w:r>
      <w:r w:rsidR="00DD19C6">
        <w:t xml:space="preserve">. </w:t>
      </w:r>
      <w:r w:rsidR="000B68D9">
        <w:t>By suggesting some practical steps for assessing environmental benefits, this study aims to stimulate discussion and so advance the development of methods</w:t>
      </w:r>
      <w:r w:rsidR="00EC7E8D">
        <w:t xml:space="preserve"> for implementing ecosystem service approaches at a local s</w:t>
      </w:r>
      <w:r w:rsidR="000B68D9">
        <w:t>cale.</w:t>
      </w:r>
    </w:p>
    <w:p w:rsidR="00B76BB1" w:rsidRDefault="00B76BB1" w:rsidP="00CF681C">
      <w:pPr>
        <w:spacing w:line="360" w:lineRule="auto"/>
        <w:jc w:val="left"/>
      </w:pPr>
    </w:p>
    <w:p w:rsidR="00B76BB1" w:rsidRPr="00B76BB1" w:rsidRDefault="00B76BB1" w:rsidP="00CF681C">
      <w:pPr>
        <w:spacing w:line="360" w:lineRule="auto"/>
        <w:jc w:val="left"/>
        <w:rPr>
          <w:b/>
        </w:rPr>
      </w:pPr>
      <w:r w:rsidRPr="00B76BB1">
        <w:rPr>
          <w:b/>
        </w:rPr>
        <w:t>Keywords</w:t>
      </w:r>
    </w:p>
    <w:p w:rsidR="000B68D9" w:rsidRDefault="00183CA9" w:rsidP="00CF681C">
      <w:pPr>
        <w:spacing w:line="360" w:lineRule="auto"/>
        <w:jc w:val="left"/>
      </w:pPr>
      <w:r>
        <w:t xml:space="preserve">Environmental services; </w:t>
      </w:r>
      <w:r w:rsidR="006D6AC9">
        <w:t>Environmental benefits assessment; Environmental impact appraisal; Local-scale quantification; Metrics</w:t>
      </w:r>
      <w:r>
        <w:t xml:space="preserve">; </w:t>
      </w:r>
      <w:r w:rsidR="006D6AC9">
        <w:t>Tidal barrage</w:t>
      </w:r>
      <w:r w:rsidR="007A45A6">
        <w:t>s</w:t>
      </w:r>
    </w:p>
    <w:p w:rsidR="00B76BB1" w:rsidRDefault="00B76BB1" w:rsidP="00CF681C">
      <w:pPr>
        <w:spacing w:line="360" w:lineRule="auto"/>
        <w:jc w:val="left"/>
      </w:pPr>
    </w:p>
    <w:p w:rsidR="002C7EBF" w:rsidRPr="00F3005F" w:rsidRDefault="00F3005F" w:rsidP="00CF681C">
      <w:pPr>
        <w:spacing w:line="360" w:lineRule="auto"/>
        <w:jc w:val="left"/>
        <w:rPr>
          <w:b/>
        </w:rPr>
      </w:pPr>
      <w:r w:rsidRPr="00F3005F">
        <w:rPr>
          <w:b/>
        </w:rPr>
        <w:t xml:space="preserve">1. </w:t>
      </w:r>
      <w:r w:rsidR="002C7EBF" w:rsidRPr="00F3005F">
        <w:rPr>
          <w:b/>
        </w:rPr>
        <w:t>Introduction</w:t>
      </w:r>
      <w:r>
        <w:rPr>
          <w:b/>
        </w:rPr>
        <w:t xml:space="preserve">: </w:t>
      </w:r>
      <w:r w:rsidRPr="00F3005F">
        <w:rPr>
          <w:b/>
        </w:rPr>
        <w:t>The Evolution of Ecosystem Service Frameworks</w:t>
      </w:r>
    </w:p>
    <w:p w:rsidR="0018487A" w:rsidRDefault="000D2433" w:rsidP="00CF681C">
      <w:pPr>
        <w:spacing w:line="360" w:lineRule="auto"/>
        <w:jc w:val="left"/>
      </w:pPr>
      <w:r>
        <w:t>E</w:t>
      </w:r>
      <w:r w:rsidR="0018487A">
        <w:t>cosystem services approach</w:t>
      </w:r>
      <w:r>
        <w:t>es</w:t>
      </w:r>
      <w:r w:rsidR="0018487A">
        <w:t xml:space="preserve"> ha</w:t>
      </w:r>
      <w:r>
        <w:t>ve</w:t>
      </w:r>
      <w:r w:rsidR="0018487A">
        <w:t xml:space="preserve"> </w:t>
      </w:r>
      <w:r w:rsidR="00BF5F4E">
        <w:t xml:space="preserve">developed with the aim of providing </w:t>
      </w:r>
      <w:r w:rsidR="0018487A">
        <w:t>a common language and a transparent framework for quantifying the ecological, social and economic trade-offs that must be evaluated in development decisions (</w:t>
      </w:r>
      <w:proofErr w:type="spellStart"/>
      <w:r w:rsidR="0018487A">
        <w:t>Granek</w:t>
      </w:r>
      <w:proofErr w:type="spellEnd"/>
      <w:r w:rsidR="0018487A">
        <w:t xml:space="preserve"> et al., 2009)</w:t>
      </w:r>
      <w:r w:rsidR="00DD19C6">
        <w:t xml:space="preserve">. </w:t>
      </w:r>
      <w:r w:rsidR="00921B0B">
        <w:t>The Millennium Ecosystem Assessment (M</w:t>
      </w:r>
      <w:r w:rsidR="00D540D1">
        <w:t>E</w:t>
      </w:r>
      <w:r w:rsidR="00921B0B">
        <w:t>A</w:t>
      </w:r>
      <w:r w:rsidR="002801D6">
        <w:t xml:space="preserve">, </w:t>
      </w:r>
      <w:r w:rsidR="00921B0B">
        <w:t xml:space="preserve">2003) proposed a  classification of </w:t>
      </w:r>
      <w:r w:rsidR="00F722F7">
        <w:t>provisioning, regulating, cultural and supporting</w:t>
      </w:r>
      <w:r w:rsidR="00921B0B">
        <w:t xml:space="preserve"> services</w:t>
      </w:r>
      <w:r w:rsidR="00DD19C6">
        <w:t>.</w:t>
      </w:r>
      <w:r>
        <w:t xml:space="preserve"> Subsequent</w:t>
      </w:r>
      <w:r w:rsidR="00D50CF0">
        <w:t xml:space="preserve"> frameworks have sought to </w:t>
      </w:r>
      <w:r w:rsidR="006E1965">
        <w:t>more clearly distinguish between services and benefits</w:t>
      </w:r>
      <w:r w:rsidR="002801D6">
        <w:t xml:space="preserve"> on the basis that evaluating benefits avoids double counting (Fisher et al., 2009). Thus, </w:t>
      </w:r>
      <w:r w:rsidR="006E1965" w:rsidRPr="00671FBE">
        <w:t>The Economics of Ecosystems and Biodiversity (TEEB</w:t>
      </w:r>
      <w:r w:rsidR="006E1965">
        <w:t xml:space="preserve">, </w:t>
      </w:r>
      <w:r w:rsidR="006E1965" w:rsidRPr="00671FBE">
        <w:t>2010)</w:t>
      </w:r>
      <w:r w:rsidR="006E1965">
        <w:t xml:space="preserve"> and the </w:t>
      </w:r>
      <w:r w:rsidR="006E1965" w:rsidRPr="00667828">
        <w:t>UK National Ecosystem Assessment (2011)</w:t>
      </w:r>
      <w:r w:rsidR="006E1965">
        <w:t xml:space="preserve"> have both developed typologies that attempt to distinguish between services providing direct and indirect benefits</w:t>
      </w:r>
      <w:r w:rsidR="00DD19C6">
        <w:t xml:space="preserve">. </w:t>
      </w:r>
      <w:r w:rsidR="00A43590">
        <w:t>O</w:t>
      </w:r>
      <w:r w:rsidR="006D053D">
        <w:t>ther authors have sought to expand classification frameworks</w:t>
      </w:r>
      <w:r w:rsidR="00A43590">
        <w:t xml:space="preserve"> so that, as well as ecological parameters, they</w:t>
      </w:r>
      <w:r w:rsidR="006D053D">
        <w:t xml:space="preserve"> include benefits </w:t>
      </w:r>
      <w:r w:rsidR="00A43590">
        <w:t xml:space="preserve">derived solely from the abiotic </w:t>
      </w:r>
      <w:r w:rsidR="006D053D">
        <w:t>elements of the environment</w:t>
      </w:r>
      <w:r w:rsidR="006D053D" w:rsidRPr="006D053D">
        <w:t xml:space="preserve"> </w:t>
      </w:r>
      <w:r w:rsidR="006D053D">
        <w:t>such as the use of space for transportation (</w:t>
      </w:r>
      <w:proofErr w:type="spellStart"/>
      <w:r w:rsidR="0018487A">
        <w:t>Balmford</w:t>
      </w:r>
      <w:proofErr w:type="spellEnd"/>
      <w:r w:rsidR="006D053D">
        <w:t xml:space="preserve"> et al., </w:t>
      </w:r>
      <w:r w:rsidR="0018487A">
        <w:t>2008</w:t>
      </w:r>
      <w:r w:rsidR="006D053D">
        <w:t xml:space="preserve">; </w:t>
      </w:r>
      <w:r w:rsidR="0018487A">
        <w:t>Saunders et al.</w:t>
      </w:r>
      <w:r w:rsidR="006D053D">
        <w:t xml:space="preserve">, </w:t>
      </w:r>
      <w:r w:rsidR="0018487A">
        <w:t>2010</w:t>
      </w:r>
      <w:r w:rsidR="00DD1B22">
        <w:t>)</w:t>
      </w:r>
      <w:r w:rsidR="00DD19C6">
        <w:t xml:space="preserve">. </w:t>
      </w:r>
      <w:r w:rsidR="0018487A">
        <w:t>Further refinements to ecosystem service classifications have been suggested</w:t>
      </w:r>
      <w:r w:rsidR="00F63E2E">
        <w:t xml:space="preserve"> under</w:t>
      </w:r>
      <w:r w:rsidR="00F63E2E" w:rsidRPr="00F63E2E">
        <w:rPr>
          <w:szCs w:val="22"/>
        </w:rPr>
        <w:t xml:space="preserve"> the </w:t>
      </w:r>
      <w:r w:rsidR="00F63E2E" w:rsidRPr="00F63E2E">
        <w:rPr>
          <w:color w:val="000000"/>
          <w:szCs w:val="22"/>
        </w:rPr>
        <w:t xml:space="preserve">Common International Classification of Ecosystem Services </w:t>
      </w:r>
      <w:r w:rsidR="0018487A">
        <w:t xml:space="preserve">(Haines-Young and </w:t>
      </w:r>
      <w:proofErr w:type="spellStart"/>
      <w:r w:rsidR="0018487A">
        <w:t>Potschin</w:t>
      </w:r>
      <w:proofErr w:type="spellEnd"/>
      <w:r w:rsidR="0018487A">
        <w:t>, 201</w:t>
      </w:r>
      <w:r w:rsidR="00DA0ED6">
        <w:t>3</w:t>
      </w:r>
      <w:r w:rsidR="0018487A">
        <w:t xml:space="preserve">), </w:t>
      </w:r>
      <w:r>
        <w:t>whilst</w:t>
      </w:r>
      <w:r w:rsidR="0018487A">
        <w:t xml:space="preserve"> the inclusion of </w:t>
      </w:r>
      <w:r w:rsidR="0018487A">
        <w:lastRenderedPageBreak/>
        <w:t xml:space="preserve">cultural services has been the topic of a recent debate in the literature (Daniel et al., 2012; </w:t>
      </w:r>
      <w:proofErr w:type="spellStart"/>
      <w:r w:rsidR="0018487A">
        <w:t>Kirchoff</w:t>
      </w:r>
      <w:proofErr w:type="spellEnd"/>
      <w:r w:rsidR="0018487A">
        <w:t>, 2012; Chan et al., 2012)</w:t>
      </w:r>
      <w:r w:rsidR="00DD19C6">
        <w:t xml:space="preserve">. </w:t>
      </w:r>
    </w:p>
    <w:p w:rsidR="000D72FE" w:rsidRDefault="000D72FE" w:rsidP="00CF681C">
      <w:pPr>
        <w:spacing w:line="360" w:lineRule="auto"/>
        <w:jc w:val="left"/>
      </w:pPr>
    </w:p>
    <w:p w:rsidR="00911337" w:rsidRDefault="0018487A" w:rsidP="00CF681C">
      <w:pPr>
        <w:spacing w:line="360" w:lineRule="auto"/>
        <w:jc w:val="left"/>
      </w:pPr>
      <w:r>
        <w:t>The operational usefulness of conceptual frameworks can only be determined by applying them in the field</w:t>
      </w:r>
      <w:r w:rsidR="00DD19C6">
        <w:t xml:space="preserve">. </w:t>
      </w:r>
      <w:r w:rsidR="001F7ABE">
        <w:t>C</w:t>
      </w:r>
      <w:r>
        <w:t xml:space="preserve">onceptual frameworks include a broad suite of ecosystem services, but empirical research tends to focus on services individually or </w:t>
      </w:r>
      <w:r w:rsidR="00A41EB3">
        <w:t xml:space="preserve">on </w:t>
      </w:r>
      <w:r>
        <w:t xml:space="preserve">a limited set (Rees et al., 2012; Mangi et al., 2011; Luisetti et al., 2011; </w:t>
      </w:r>
      <w:proofErr w:type="spellStart"/>
      <w:r>
        <w:t>Pittock</w:t>
      </w:r>
      <w:proofErr w:type="spellEnd"/>
      <w:r>
        <w:t xml:space="preserve"> et al., 2012; </w:t>
      </w:r>
      <w:proofErr w:type="spellStart"/>
      <w:r>
        <w:t>Balvanera</w:t>
      </w:r>
      <w:proofErr w:type="spellEnd"/>
      <w:r>
        <w:t xml:space="preserve"> et al., 20</w:t>
      </w:r>
      <w:r w:rsidR="00DF2C9B">
        <w:t>06</w:t>
      </w:r>
      <w:r>
        <w:t>)</w:t>
      </w:r>
      <w:r w:rsidR="00DD19C6">
        <w:t xml:space="preserve">. </w:t>
      </w:r>
      <w:r>
        <w:t xml:space="preserve">Further studies that attempt simultaneous assessment of </w:t>
      </w:r>
      <w:r w:rsidR="00EC7E8D">
        <w:t xml:space="preserve">a </w:t>
      </w:r>
      <w:r>
        <w:t xml:space="preserve">large suite of ecosystem services are </w:t>
      </w:r>
      <w:r w:rsidR="00A41EB3">
        <w:t xml:space="preserve">required </w:t>
      </w:r>
      <w:r w:rsidR="00911337">
        <w:t xml:space="preserve">as lessons learned from such empirical application will help </w:t>
      </w:r>
      <w:r>
        <w:t>to aid development of the ecosystem services approach</w:t>
      </w:r>
      <w:r w:rsidR="00911337">
        <w:t xml:space="preserve"> as a practical tool for supporting decision making in natural resource management.</w:t>
      </w:r>
    </w:p>
    <w:p w:rsidR="004B760A" w:rsidRDefault="004B760A" w:rsidP="00CF681C">
      <w:pPr>
        <w:spacing w:line="360" w:lineRule="auto"/>
        <w:jc w:val="left"/>
      </w:pPr>
    </w:p>
    <w:p w:rsidR="0018487A" w:rsidRDefault="004B760A" w:rsidP="00CF681C">
      <w:pPr>
        <w:spacing w:line="360" w:lineRule="auto"/>
        <w:jc w:val="left"/>
      </w:pPr>
      <w:r>
        <w:t xml:space="preserve">In this paper we </w:t>
      </w:r>
      <w:r w:rsidR="001954EB">
        <w:t>propose</w:t>
      </w:r>
      <w:r>
        <w:t xml:space="preserve"> a framework methodology that supports application of the ecosystem services concept to local environmental impact appraisal</w:t>
      </w:r>
      <w:r w:rsidR="00C14AB5">
        <w:t>,</w:t>
      </w:r>
      <w:r>
        <w:t xml:space="preserve"> and then </w:t>
      </w:r>
      <w:r w:rsidR="001954EB">
        <w:t>explore implementation of</w:t>
      </w:r>
      <w:r>
        <w:t xml:space="preserve"> the methodology through a case study of a hypothetical </w:t>
      </w:r>
      <w:r w:rsidR="000B0111">
        <w:t xml:space="preserve">tidal </w:t>
      </w:r>
      <w:r>
        <w:t xml:space="preserve">barrage </w:t>
      </w:r>
      <w:r w:rsidR="000B0111">
        <w:t>in</w:t>
      </w:r>
      <w:r w:rsidR="00105297">
        <w:t xml:space="preserve"> an</w:t>
      </w:r>
      <w:r>
        <w:t xml:space="preserve"> estuary in south west England.</w:t>
      </w:r>
    </w:p>
    <w:p w:rsidR="00911337" w:rsidRDefault="00911337" w:rsidP="00CF681C">
      <w:pPr>
        <w:spacing w:line="360" w:lineRule="auto"/>
        <w:jc w:val="left"/>
      </w:pPr>
    </w:p>
    <w:p w:rsidR="007A46C1" w:rsidRPr="00F3005F" w:rsidRDefault="00F3005F" w:rsidP="00CF681C">
      <w:pPr>
        <w:spacing w:line="360" w:lineRule="auto"/>
        <w:jc w:val="left"/>
        <w:rPr>
          <w:b/>
        </w:rPr>
      </w:pPr>
      <w:r>
        <w:rPr>
          <w:b/>
        </w:rPr>
        <w:t xml:space="preserve">2. </w:t>
      </w:r>
      <w:r w:rsidR="007A46C1" w:rsidRPr="00F3005F">
        <w:rPr>
          <w:b/>
        </w:rPr>
        <w:t>Developing a tool for local environmental impact appraisal</w:t>
      </w:r>
    </w:p>
    <w:p w:rsidR="004F409F" w:rsidRDefault="00D50CF0" w:rsidP="00CF681C">
      <w:pPr>
        <w:spacing w:line="360" w:lineRule="auto"/>
        <w:jc w:val="left"/>
        <w:rPr>
          <w:rFonts w:cs="EUAlbertina"/>
          <w:color w:val="000000"/>
        </w:rPr>
      </w:pPr>
      <w:r>
        <w:t xml:space="preserve">The context of this research is to evaluate the potential for ecosystem service assessments to support decision-making with respect to a </w:t>
      </w:r>
      <w:r w:rsidRPr="0061055E">
        <w:t>specific local-level intervention</w:t>
      </w:r>
      <w:r w:rsidR="00DD19C6">
        <w:t xml:space="preserve">. </w:t>
      </w:r>
      <w:r w:rsidR="007259FE">
        <w:t>Across Europe, a</w:t>
      </w:r>
      <w:r w:rsidR="0076684A">
        <w:t xml:space="preserve">ppraisal of the environmental impact of </w:t>
      </w:r>
      <w:r w:rsidR="004F409F">
        <w:t xml:space="preserve">a </w:t>
      </w:r>
      <w:r w:rsidR="0076684A">
        <w:t xml:space="preserve">development is </w:t>
      </w:r>
      <w:r w:rsidR="004F409F">
        <w:t xml:space="preserve">currently </w:t>
      </w:r>
      <w:r w:rsidR="0076684A">
        <w:t xml:space="preserve">governed by the </w:t>
      </w:r>
      <w:r w:rsidR="0076684A" w:rsidRPr="006F4788">
        <w:t>Strategic Environmental Assessment (SEA) Directive (</w:t>
      </w:r>
      <w:r w:rsidR="0076684A" w:rsidRPr="006F4788">
        <w:rPr>
          <w:bCs/>
          <w:szCs w:val="22"/>
          <w:lang w:eastAsia="en-GB"/>
        </w:rPr>
        <w:t>Directive 2001/42/EC</w:t>
      </w:r>
      <w:r w:rsidR="0076684A" w:rsidRPr="006F4788">
        <w:t>)</w:t>
      </w:r>
      <w:r w:rsidR="0076684A">
        <w:t xml:space="preserve"> and the </w:t>
      </w:r>
      <w:r w:rsidR="0076684A">
        <w:rPr>
          <w:rFonts w:cs="EUAlbertina"/>
          <w:color w:val="000000"/>
        </w:rPr>
        <w:t>Environmental Impact Assessment (EIA) Directive (</w:t>
      </w:r>
      <w:r w:rsidR="0076684A" w:rsidRPr="00EF74B7">
        <w:rPr>
          <w:bCs/>
          <w:color w:val="000000"/>
          <w:szCs w:val="22"/>
        </w:rPr>
        <w:t>Directive 2011/92/EU</w:t>
      </w:r>
      <w:r w:rsidR="0076684A">
        <w:rPr>
          <w:rFonts w:cs="EUAlbertina"/>
          <w:color w:val="000000"/>
        </w:rPr>
        <w:t>)</w:t>
      </w:r>
      <w:r w:rsidR="00A43590">
        <w:rPr>
          <w:rFonts w:cs="EUAlbertina"/>
          <w:color w:val="000000"/>
        </w:rPr>
        <w:t xml:space="preserve">, for, respectively, </w:t>
      </w:r>
      <w:r w:rsidR="002B7958">
        <w:rPr>
          <w:rFonts w:cs="EUAlbertina"/>
          <w:color w:val="000000"/>
        </w:rPr>
        <w:t>public programmes</w:t>
      </w:r>
      <w:r w:rsidR="00A43590">
        <w:rPr>
          <w:rFonts w:cs="EUAlbertina"/>
          <w:color w:val="000000"/>
        </w:rPr>
        <w:t xml:space="preserve"> and</w:t>
      </w:r>
      <w:r w:rsidR="002B7958">
        <w:rPr>
          <w:rFonts w:cs="EUAlbertina"/>
          <w:color w:val="000000"/>
        </w:rPr>
        <w:t xml:space="preserve"> individual projects</w:t>
      </w:r>
      <w:r w:rsidR="007259FE">
        <w:rPr>
          <w:rFonts w:cs="EUAlbertina"/>
          <w:color w:val="000000"/>
        </w:rPr>
        <w:t>. B</w:t>
      </w:r>
      <w:r w:rsidR="00DD7FB7">
        <w:rPr>
          <w:rFonts w:cs="EUAlbertina"/>
          <w:color w:val="000000"/>
        </w:rPr>
        <w:t>oth are procedures that seek to ensure that environmental implications are appropriately considered</w:t>
      </w:r>
      <w:r w:rsidR="0094157D">
        <w:rPr>
          <w:rFonts w:cs="EUAlbertina"/>
          <w:color w:val="000000"/>
        </w:rPr>
        <w:t xml:space="preserve"> in decision-making</w:t>
      </w:r>
      <w:r w:rsidR="007259FE">
        <w:rPr>
          <w:rFonts w:cs="EUAlbertina"/>
          <w:color w:val="000000"/>
        </w:rPr>
        <w:t xml:space="preserve"> and similar policy and legal tools are used internationally</w:t>
      </w:r>
      <w:r w:rsidR="00DD19C6">
        <w:rPr>
          <w:rFonts w:cs="EUAlbertina"/>
          <w:color w:val="000000"/>
        </w:rPr>
        <w:t xml:space="preserve">. </w:t>
      </w:r>
    </w:p>
    <w:p w:rsidR="004F409F" w:rsidRDefault="004F409F" w:rsidP="00CF681C">
      <w:pPr>
        <w:autoSpaceDE w:val="0"/>
        <w:autoSpaceDN w:val="0"/>
        <w:adjustRightInd w:val="0"/>
        <w:spacing w:line="360" w:lineRule="auto"/>
        <w:jc w:val="left"/>
        <w:rPr>
          <w:rFonts w:cs="EUAlbertina"/>
          <w:color w:val="000000"/>
        </w:rPr>
      </w:pPr>
    </w:p>
    <w:p w:rsidR="00CC6DA6" w:rsidRDefault="004F409F" w:rsidP="00CF681C">
      <w:pPr>
        <w:spacing w:line="360" w:lineRule="auto"/>
        <w:jc w:val="left"/>
        <w:rPr>
          <w:szCs w:val="22"/>
        </w:rPr>
      </w:pPr>
      <w:r>
        <w:rPr>
          <w:rFonts w:cs="EUAlbertina"/>
          <w:color w:val="000000"/>
        </w:rPr>
        <w:t xml:space="preserve">The SEA and EIA Directives </w:t>
      </w:r>
      <w:r w:rsidR="002801D6">
        <w:rPr>
          <w:rFonts w:cs="EUAlbertina"/>
          <w:color w:val="000000"/>
        </w:rPr>
        <w:t xml:space="preserve">are conceptually well aligned with the ecosystem services approach since they </w:t>
      </w:r>
      <w:r>
        <w:rPr>
          <w:rFonts w:cs="EUAlbertina"/>
          <w:color w:val="000000"/>
        </w:rPr>
        <w:t>both consider the environment</w:t>
      </w:r>
      <w:r w:rsidR="00027086">
        <w:rPr>
          <w:rFonts w:cs="EUAlbertina"/>
          <w:color w:val="000000"/>
        </w:rPr>
        <w:t xml:space="preserve"> as more than </w:t>
      </w:r>
      <w:r w:rsidR="005E70CE">
        <w:rPr>
          <w:rFonts w:cs="EUAlbertina"/>
          <w:color w:val="000000"/>
        </w:rPr>
        <w:t>its</w:t>
      </w:r>
      <w:r w:rsidR="00027086">
        <w:rPr>
          <w:rFonts w:cs="EUAlbertina"/>
          <w:color w:val="000000"/>
        </w:rPr>
        <w:t xml:space="preserve"> ecological parameters</w:t>
      </w:r>
      <w:r w:rsidR="00A41EB3">
        <w:rPr>
          <w:rFonts w:cs="EUAlbertina"/>
          <w:color w:val="000000"/>
        </w:rPr>
        <w:t>, and</w:t>
      </w:r>
      <w:r w:rsidR="0076684A">
        <w:rPr>
          <w:rFonts w:cs="EUAlbertina"/>
          <w:color w:val="000000"/>
        </w:rPr>
        <w:t xml:space="preserve"> contain explicit reference to the need for evaluations to consider people, material assets and cultural heritage</w:t>
      </w:r>
      <w:r w:rsidR="00DD19C6">
        <w:rPr>
          <w:rFonts w:cs="EUAlbertina"/>
          <w:color w:val="000000"/>
        </w:rPr>
        <w:t xml:space="preserve">. </w:t>
      </w:r>
      <w:r w:rsidR="00AC40E2">
        <w:t>The procedure</w:t>
      </w:r>
      <w:r w:rsidR="00764565">
        <w:t>s they prescribe</w:t>
      </w:r>
      <w:r w:rsidR="00AC40E2">
        <w:t xml:space="preserve"> for the appraisal of environmental impacts already </w:t>
      </w:r>
      <w:r w:rsidR="00764565">
        <w:t>include</w:t>
      </w:r>
      <w:r w:rsidR="00AC40E2">
        <w:t xml:space="preserve"> assessment of the effects of developments on a wide range of environmental, social and economic benefits. </w:t>
      </w:r>
      <w:r w:rsidR="00CC6DA6">
        <w:rPr>
          <w:szCs w:val="22"/>
        </w:rPr>
        <w:t>However, in categorising the parameters to be assessed, the approach taken in the SEA and EIA guidance has</w:t>
      </w:r>
      <w:r w:rsidR="00CC6DA6" w:rsidRPr="007659D2">
        <w:rPr>
          <w:szCs w:val="22"/>
        </w:rPr>
        <w:t xml:space="preserve"> not </w:t>
      </w:r>
      <w:r w:rsidR="00CC6DA6">
        <w:rPr>
          <w:szCs w:val="22"/>
        </w:rPr>
        <w:t xml:space="preserve">been </w:t>
      </w:r>
      <w:r w:rsidR="00CC6DA6" w:rsidRPr="007659D2">
        <w:rPr>
          <w:szCs w:val="22"/>
        </w:rPr>
        <w:t>systematic</w:t>
      </w:r>
      <w:r w:rsidR="00CC6DA6">
        <w:rPr>
          <w:szCs w:val="22"/>
        </w:rPr>
        <w:t xml:space="preserve">. To use tidal barrages as an example </w:t>
      </w:r>
      <w:r w:rsidR="00CC6DA6" w:rsidRPr="00262DBA">
        <w:rPr>
          <w:szCs w:val="22"/>
        </w:rPr>
        <w:t>(as the subject of the case study presented in Section 4 below)</w:t>
      </w:r>
      <w:r w:rsidR="00CC6DA6">
        <w:rPr>
          <w:szCs w:val="22"/>
        </w:rPr>
        <w:t>, a</w:t>
      </w:r>
      <w:r w:rsidR="00CC6DA6" w:rsidRPr="007659D2">
        <w:rPr>
          <w:szCs w:val="22"/>
        </w:rPr>
        <w:t xml:space="preserve"> SEA was carried out as part of a recent feasibility study on a </w:t>
      </w:r>
      <w:r w:rsidR="00CC6DA6">
        <w:rPr>
          <w:szCs w:val="22"/>
        </w:rPr>
        <w:t xml:space="preserve">potential </w:t>
      </w:r>
      <w:r w:rsidR="00CC6DA6" w:rsidRPr="007659D2">
        <w:rPr>
          <w:szCs w:val="22"/>
        </w:rPr>
        <w:t>Severn Barrage (Parsons Brinckerhoff, 2010), and further guidance for compiling EIAs</w:t>
      </w:r>
      <w:r w:rsidR="00CC6DA6">
        <w:rPr>
          <w:szCs w:val="22"/>
        </w:rPr>
        <w:t xml:space="preserve"> for tidal barrages</w:t>
      </w:r>
      <w:r w:rsidR="00CC6DA6" w:rsidRPr="007659D2">
        <w:rPr>
          <w:szCs w:val="22"/>
        </w:rPr>
        <w:t xml:space="preserve"> has also been produced (Environment Agency, 2002)</w:t>
      </w:r>
      <w:r w:rsidR="00CC6DA6">
        <w:rPr>
          <w:szCs w:val="22"/>
        </w:rPr>
        <w:t xml:space="preserve">.  </w:t>
      </w:r>
      <w:r w:rsidR="00CC6DA6" w:rsidRPr="007659D2">
        <w:rPr>
          <w:szCs w:val="22"/>
        </w:rPr>
        <w:t xml:space="preserve">The categorisation used within both the SEA </w:t>
      </w:r>
      <w:r w:rsidR="00CC6DA6">
        <w:rPr>
          <w:szCs w:val="22"/>
        </w:rPr>
        <w:t xml:space="preserve">and EIA guidance </w:t>
      </w:r>
      <w:r w:rsidR="00CC6DA6" w:rsidRPr="007659D2">
        <w:rPr>
          <w:szCs w:val="22"/>
        </w:rPr>
        <w:t>causes duplication, with, for example, noise, flood risk and water quality listed as significant issues in more than one SEA topic, and visual amenity appearing in two EIA categories</w:t>
      </w:r>
      <w:r w:rsidR="00CC6DA6">
        <w:rPr>
          <w:szCs w:val="22"/>
        </w:rPr>
        <w:t xml:space="preserve">.  </w:t>
      </w:r>
    </w:p>
    <w:p w:rsidR="00CC6DA6" w:rsidRDefault="00CC6DA6" w:rsidP="00CF681C">
      <w:pPr>
        <w:autoSpaceDE w:val="0"/>
        <w:autoSpaceDN w:val="0"/>
        <w:adjustRightInd w:val="0"/>
        <w:spacing w:line="360" w:lineRule="auto"/>
        <w:jc w:val="left"/>
        <w:rPr>
          <w:szCs w:val="22"/>
        </w:rPr>
      </w:pPr>
    </w:p>
    <w:p w:rsidR="00AC40E2" w:rsidRPr="00A43590" w:rsidRDefault="00CC6DA6" w:rsidP="00CF681C">
      <w:pPr>
        <w:autoSpaceDE w:val="0"/>
        <w:autoSpaceDN w:val="0"/>
        <w:adjustRightInd w:val="0"/>
        <w:spacing w:line="360" w:lineRule="auto"/>
        <w:jc w:val="left"/>
        <w:rPr>
          <w:szCs w:val="22"/>
        </w:rPr>
      </w:pPr>
      <w:r>
        <w:rPr>
          <w:szCs w:val="22"/>
        </w:rPr>
        <w:t xml:space="preserve">Also, </w:t>
      </w:r>
      <w:r w:rsidR="00AC40E2">
        <w:t xml:space="preserve"> </w:t>
      </w:r>
      <w:r w:rsidRPr="00D40274">
        <w:rPr>
          <w:szCs w:val="22"/>
        </w:rPr>
        <w:t>the SEA approach as applied to the Severn Estuary</w:t>
      </w:r>
      <w:r w:rsidRPr="007659D2">
        <w:rPr>
          <w:szCs w:val="22"/>
        </w:rPr>
        <w:t xml:space="preserve"> </w:t>
      </w:r>
      <w:r w:rsidR="00310C9A" w:rsidRPr="007659D2">
        <w:rPr>
          <w:szCs w:val="22"/>
        </w:rPr>
        <w:t>does not</w:t>
      </w:r>
      <w:r w:rsidR="00A43590">
        <w:rPr>
          <w:szCs w:val="22"/>
        </w:rPr>
        <w:t xml:space="preserve"> </w:t>
      </w:r>
      <w:r w:rsidR="00A43590" w:rsidRPr="007659D2">
        <w:rPr>
          <w:szCs w:val="22"/>
        </w:rPr>
        <w:t xml:space="preserve">lead easily to </w:t>
      </w:r>
      <w:r w:rsidR="00A43590">
        <w:rPr>
          <w:szCs w:val="22"/>
        </w:rPr>
        <w:t>the step of valuation, which c</w:t>
      </w:r>
      <w:r w:rsidR="000F1D65">
        <w:rPr>
          <w:szCs w:val="22"/>
        </w:rPr>
        <w:t xml:space="preserve">an </w:t>
      </w:r>
      <w:r w:rsidR="00A43590">
        <w:rPr>
          <w:szCs w:val="22"/>
        </w:rPr>
        <w:t>facilitate decision-making by quantifying the impacts using a common metric</w:t>
      </w:r>
      <w:r w:rsidR="00764565">
        <w:rPr>
          <w:szCs w:val="22"/>
        </w:rPr>
        <w:t>, thus</w:t>
      </w:r>
      <w:r w:rsidR="00A43590">
        <w:rPr>
          <w:szCs w:val="22"/>
        </w:rPr>
        <w:t xml:space="preserve"> supporting cost-benefit analysis.  </w:t>
      </w:r>
      <w:r>
        <w:rPr>
          <w:szCs w:val="22"/>
        </w:rPr>
        <w:t>This is because</w:t>
      </w:r>
      <w:r w:rsidR="000F1D65">
        <w:rPr>
          <w:szCs w:val="22"/>
        </w:rPr>
        <w:t xml:space="preserve"> </w:t>
      </w:r>
      <w:r>
        <w:rPr>
          <w:szCs w:val="22"/>
        </w:rPr>
        <w:t>no distinction is made in presenting information on e</w:t>
      </w:r>
      <w:r w:rsidRPr="007659D2">
        <w:rPr>
          <w:szCs w:val="22"/>
        </w:rPr>
        <w:t>cosystem processes (such as saltmarsh functionality), services (including water quality) and environmental benefits (for example availability of commercial fish species</w:t>
      </w:r>
      <w:r w:rsidRPr="003A3CFB">
        <w:rPr>
          <w:szCs w:val="22"/>
        </w:rPr>
        <w:t xml:space="preserve">), and so it is not immediately apparent </w:t>
      </w:r>
      <w:r>
        <w:rPr>
          <w:szCs w:val="22"/>
        </w:rPr>
        <w:t xml:space="preserve">for </w:t>
      </w:r>
      <w:r w:rsidRPr="003A3CFB">
        <w:rPr>
          <w:szCs w:val="22"/>
        </w:rPr>
        <w:t>which of the parameter</w:t>
      </w:r>
      <w:r>
        <w:rPr>
          <w:szCs w:val="22"/>
        </w:rPr>
        <w:t>s detailed valuation should be attempted</w:t>
      </w:r>
      <w:r w:rsidR="00A43590">
        <w:rPr>
          <w:szCs w:val="22"/>
        </w:rPr>
        <w:t xml:space="preserve">. </w:t>
      </w:r>
      <w:r w:rsidR="00310C9A">
        <w:t xml:space="preserve">Therefore, </w:t>
      </w:r>
      <w:r w:rsidR="00AC40E2">
        <w:t>there remains scope to develop a methodology that ensures a systematic and comprehensive treatment of the full range of benefits likely to be affected, and facilitates an additional step of valuing these benefits to allow their quantification in a common metric. The Environmental Benefits Assessment methodology proposed below aims to address these issues</w:t>
      </w:r>
      <w:r w:rsidR="00526705">
        <w:t xml:space="preserve"> in relation to</w:t>
      </w:r>
      <w:r w:rsidR="00526705" w:rsidRPr="00526705">
        <w:t xml:space="preserve"> specific local-level intervention</w:t>
      </w:r>
      <w:r w:rsidR="00526705">
        <w:t>s</w:t>
      </w:r>
      <w:r w:rsidR="00AC40E2">
        <w:t>.</w:t>
      </w:r>
    </w:p>
    <w:p w:rsidR="009D2CAD" w:rsidRDefault="009D2CAD" w:rsidP="00CF681C">
      <w:pPr>
        <w:spacing w:line="360" w:lineRule="auto"/>
        <w:jc w:val="left"/>
      </w:pPr>
    </w:p>
    <w:p w:rsidR="007A46C1" w:rsidRPr="00F3005F" w:rsidRDefault="00F3005F" w:rsidP="00CF681C">
      <w:pPr>
        <w:spacing w:line="360" w:lineRule="auto"/>
        <w:jc w:val="left"/>
        <w:rPr>
          <w:b/>
        </w:rPr>
      </w:pPr>
      <w:r>
        <w:rPr>
          <w:b/>
        </w:rPr>
        <w:t xml:space="preserve">3. </w:t>
      </w:r>
      <w:r w:rsidR="007A46C1" w:rsidRPr="00F3005F">
        <w:rPr>
          <w:b/>
        </w:rPr>
        <w:t>Proposed Methodology for an Environmental Benefit Assessment</w:t>
      </w:r>
      <w:r w:rsidR="00EE5881" w:rsidRPr="00F3005F">
        <w:rPr>
          <w:b/>
        </w:rPr>
        <w:t xml:space="preserve"> (EBA)</w:t>
      </w:r>
    </w:p>
    <w:p w:rsidR="00C14AB5" w:rsidRPr="00C14AB5" w:rsidRDefault="00C14AB5" w:rsidP="00CF681C">
      <w:pPr>
        <w:spacing w:line="360" w:lineRule="auto"/>
        <w:jc w:val="left"/>
      </w:pPr>
      <w:r w:rsidRPr="00C14AB5">
        <w:t>The</w:t>
      </w:r>
      <w:r>
        <w:t xml:space="preserve"> first stage of an</w:t>
      </w:r>
      <w:r w:rsidRPr="00C14AB5">
        <w:t xml:space="preserve"> </w:t>
      </w:r>
      <w:r>
        <w:t xml:space="preserve">Environmental Benefit Assessment (EBA) is to </w:t>
      </w:r>
      <w:r w:rsidR="008D6986">
        <w:t>characterise the site and identify stakeholders as this is fundamental to gaining an understanding of the benefits</w:t>
      </w:r>
      <w:r w:rsidR="00E63FC1">
        <w:t xml:space="preserve"> delivered prior to the </w:t>
      </w:r>
      <w:r w:rsidR="000027D6">
        <w:t xml:space="preserve">proposed </w:t>
      </w:r>
      <w:r w:rsidR="00E63FC1">
        <w:t>development. The current situation is then described through i)</w:t>
      </w:r>
      <w:r w:rsidR="008D6986">
        <w:t xml:space="preserve"> </w:t>
      </w:r>
      <w:r w:rsidR="006040C6">
        <w:t xml:space="preserve">compiling </w:t>
      </w:r>
      <w:r w:rsidR="008D6986">
        <w:t xml:space="preserve">an inventory of the </w:t>
      </w:r>
      <w:r>
        <w:t xml:space="preserve">environmental benefits </w:t>
      </w:r>
      <w:r w:rsidR="008D6986">
        <w:t xml:space="preserve">obtained from the site; </w:t>
      </w:r>
      <w:r w:rsidR="00E63FC1">
        <w:t xml:space="preserve">ii) </w:t>
      </w:r>
      <w:r w:rsidR="008D6986">
        <w:t xml:space="preserve">quantifying </w:t>
      </w:r>
      <w:r w:rsidR="00DF7EF7">
        <w:t xml:space="preserve">the </w:t>
      </w:r>
      <w:r>
        <w:t>current level of delivery</w:t>
      </w:r>
      <w:r w:rsidR="00E63FC1">
        <w:t xml:space="preserve"> of each benefits</w:t>
      </w:r>
      <w:r w:rsidR="008D6986">
        <w:t xml:space="preserve">; and </w:t>
      </w:r>
      <w:r w:rsidR="00E63FC1">
        <w:t xml:space="preserve">iii) </w:t>
      </w:r>
      <w:r w:rsidR="008D6986">
        <w:t>determining the</w:t>
      </w:r>
      <w:r w:rsidR="00E63FC1">
        <w:t>ir</w:t>
      </w:r>
      <w:r w:rsidR="008D6986">
        <w:t xml:space="preserve"> relative </w:t>
      </w:r>
      <w:r>
        <w:t>importance</w:t>
      </w:r>
      <w:r w:rsidR="008D6986">
        <w:t xml:space="preserve">.  </w:t>
      </w:r>
      <w:r w:rsidR="00E63FC1">
        <w:t xml:space="preserve">The </w:t>
      </w:r>
      <w:r>
        <w:t>change in</w:t>
      </w:r>
      <w:r w:rsidR="000027D6">
        <w:t xml:space="preserve"> the</w:t>
      </w:r>
      <w:r>
        <w:t xml:space="preserve"> level of delivery</w:t>
      </w:r>
      <w:r w:rsidR="00E63FC1">
        <w:t xml:space="preserve"> of the environmental benefits</w:t>
      </w:r>
      <w:r>
        <w:t xml:space="preserve"> as a result of proposed development</w:t>
      </w:r>
      <w:r w:rsidR="00E63FC1">
        <w:t xml:space="preserve"> is then examined</w:t>
      </w:r>
      <w:r w:rsidR="008D6986">
        <w:t xml:space="preserve">.  </w:t>
      </w:r>
      <w:r>
        <w:t>These steps are described in more detail below.</w:t>
      </w:r>
    </w:p>
    <w:p w:rsidR="00C14AB5" w:rsidRDefault="00C14AB5" w:rsidP="00CF681C">
      <w:pPr>
        <w:spacing w:line="360" w:lineRule="auto"/>
        <w:jc w:val="left"/>
        <w:rPr>
          <w:b/>
        </w:rPr>
      </w:pPr>
    </w:p>
    <w:p w:rsidR="0018487A" w:rsidRPr="00EC1692" w:rsidRDefault="00EC1692" w:rsidP="00CF681C">
      <w:pPr>
        <w:spacing w:line="360" w:lineRule="auto"/>
        <w:jc w:val="left"/>
        <w:rPr>
          <w:b/>
        </w:rPr>
      </w:pPr>
      <w:r>
        <w:rPr>
          <w:b/>
        </w:rPr>
        <w:t xml:space="preserve">3.1 </w:t>
      </w:r>
      <w:r w:rsidR="00961A38" w:rsidRPr="00EC1692">
        <w:rPr>
          <w:b/>
        </w:rPr>
        <w:t>Definitions</w:t>
      </w:r>
    </w:p>
    <w:p w:rsidR="0018487A" w:rsidRDefault="00526705" w:rsidP="00CF681C">
      <w:pPr>
        <w:spacing w:line="360" w:lineRule="auto"/>
        <w:jc w:val="left"/>
      </w:pPr>
      <w:r>
        <w:t>The</w:t>
      </w:r>
      <w:r w:rsidRPr="004E52C0">
        <w:t xml:space="preserve"> </w:t>
      </w:r>
      <w:r w:rsidR="00027086">
        <w:t>proposed methodology</w:t>
      </w:r>
      <w:r w:rsidR="0018487A" w:rsidRPr="004E52C0">
        <w:t xml:space="preserve"> </w:t>
      </w:r>
      <w:r w:rsidR="005E70CE">
        <w:t>follows</w:t>
      </w:r>
      <w:r w:rsidR="0018487A">
        <w:t xml:space="preserve"> </w:t>
      </w:r>
      <w:proofErr w:type="spellStart"/>
      <w:r w:rsidR="0018487A">
        <w:t>Balmford</w:t>
      </w:r>
      <w:proofErr w:type="spellEnd"/>
      <w:r w:rsidR="0018487A">
        <w:t xml:space="preserve"> et al. (2008) and Saunders et al. (2010) </w:t>
      </w:r>
      <w:r w:rsidR="000D6470">
        <w:t>by</w:t>
      </w:r>
      <w:r w:rsidR="0018487A">
        <w:t xml:space="preserve"> including</w:t>
      </w:r>
      <w:r w:rsidR="0018487A" w:rsidRPr="004E52C0">
        <w:t xml:space="preserve"> </w:t>
      </w:r>
      <w:r w:rsidR="00C14AB5">
        <w:t>services provided solely by</w:t>
      </w:r>
      <w:r w:rsidR="00C14AB5" w:rsidRPr="004E52C0">
        <w:t xml:space="preserve"> the abiotic elements of the environment</w:t>
      </w:r>
      <w:r w:rsidR="00C14AB5">
        <w:t xml:space="preserve"> as well as those with an ecological basis</w:t>
      </w:r>
      <w:r>
        <w:t>. This</w:t>
      </w:r>
      <w:r w:rsidRPr="004E52C0">
        <w:t xml:space="preserve"> </w:t>
      </w:r>
      <w:r w:rsidR="0018487A" w:rsidRPr="004E52C0">
        <w:t>ensure</w:t>
      </w:r>
      <w:r>
        <w:t>s</w:t>
      </w:r>
      <w:r w:rsidR="0018487A" w:rsidRPr="004E52C0">
        <w:t xml:space="preserve"> that th</w:t>
      </w:r>
      <w:r w:rsidR="0018487A">
        <w:t xml:space="preserve">e assessment </w:t>
      </w:r>
      <w:r w:rsidR="0018487A" w:rsidRPr="004E52C0">
        <w:t xml:space="preserve">can accommodate all the potential implications of </w:t>
      </w:r>
      <w:r w:rsidR="0018487A">
        <w:t xml:space="preserve">a </w:t>
      </w:r>
      <w:r w:rsidR="00027086" w:rsidRPr="0061055E">
        <w:t xml:space="preserve">proposed infrastructure </w:t>
      </w:r>
      <w:r w:rsidR="0018487A">
        <w:t xml:space="preserve">development within a single </w:t>
      </w:r>
      <w:r w:rsidR="00027086">
        <w:t>process</w:t>
      </w:r>
      <w:r>
        <w:t xml:space="preserve"> and</w:t>
      </w:r>
      <w:r w:rsidR="00ED6314">
        <w:t xml:space="preserve"> is in line with </w:t>
      </w:r>
      <w:r w:rsidR="00B660BB">
        <w:t xml:space="preserve">the </w:t>
      </w:r>
      <w:r w:rsidR="00ED6314">
        <w:t>SEA/EIA process, which considers benefits such as transport</w:t>
      </w:r>
      <w:r w:rsidR="00DD19C6">
        <w:t xml:space="preserve">. </w:t>
      </w:r>
      <w:r w:rsidR="0018487A" w:rsidRPr="004E52C0">
        <w:t xml:space="preserve">The </w:t>
      </w:r>
      <w:r w:rsidR="0018487A">
        <w:t xml:space="preserve">term ‘environmental services’ </w:t>
      </w:r>
      <w:r w:rsidR="000F1D65">
        <w:t>is</w:t>
      </w:r>
      <w:r w:rsidR="0018487A">
        <w:t xml:space="preserve"> used to describe this extended classification, and </w:t>
      </w:r>
      <w:r w:rsidR="000F1D65">
        <w:t>is</w:t>
      </w:r>
      <w:r w:rsidR="0018487A">
        <w:t xml:space="preserve"> defined as </w:t>
      </w:r>
      <w:r w:rsidR="0018487A" w:rsidRPr="007F74BA">
        <w:t>the conditions and processes through which natural ecosystems, and the</w:t>
      </w:r>
      <w:r w:rsidR="0018487A">
        <w:t xml:space="preserve"> species and</w:t>
      </w:r>
      <w:r w:rsidR="0018487A" w:rsidRPr="007F74BA">
        <w:t xml:space="preserve"> abiotic characteristics that make them up, sustain and fulfil human life (adapted from Daily, 1997)</w:t>
      </w:r>
      <w:r w:rsidR="00DD19C6">
        <w:t xml:space="preserve">. </w:t>
      </w:r>
    </w:p>
    <w:p w:rsidR="0018487A" w:rsidRDefault="0018487A" w:rsidP="00CF681C">
      <w:pPr>
        <w:spacing w:line="360" w:lineRule="auto"/>
        <w:jc w:val="left"/>
      </w:pPr>
    </w:p>
    <w:p w:rsidR="0018487A" w:rsidRDefault="00027086" w:rsidP="00CF681C">
      <w:pPr>
        <w:spacing w:line="360" w:lineRule="auto"/>
        <w:jc w:val="left"/>
      </w:pPr>
      <w:r>
        <w:t xml:space="preserve">The methodology seeks to </w:t>
      </w:r>
      <w:r w:rsidR="005E70CE">
        <w:t xml:space="preserve">identify and </w:t>
      </w:r>
      <w:r>
        <w:t>quantify benefits (as opposed to the services that provide them), because</w:t>
      </w:r>
      <w:r w:rsidR="007573EB">
        <w:t xml:space="preserve"> it aims to facilitate ecosystem valuation</w:t>
      </w:r>
      <w:r w:rsidR="00DD19C6">
        <w:t xml:space="preserve">. </w:t>
      </w:r>
      <w:r w:rsidR="004410CE" w:rsidRPr="0006393F">
        <w:t>Operationally, ecosystem valuation is much simplified by considering only the ecosystem endpoint that yields a valuable benefit and not the complex processes by which it was provided, as measurement of the latter is much more complex (Boyd and Banzhaf, 2007)</w:t>
      </w:r>
      <w:r w:rsidR="00DD19C6">
        <w:t xml:space="preserve">. </w:t>
      </w:r>
      <w:r w:rsidR="0076684A">
        <w:t>D</w:t>
      </w:r>
      <w:r w:rsidR="0018487A" w:rsidRPr="008459C2">
        <w:t xml:space="preserve">efinitions that clearly distinguish between services and benefits are </w:t>
      </w:r>
      <w:r w:rsidR="0018487A" w:rsidRPr="008459C2">
        <w:lastRenderedPageBreak/>
        <w:t>essential (Fisher et al., 2009), and it has been su</w:t>
      </w:r>
      <w:r w:rsidR="0018487A">
        <w:t>ggested that the separate term ‘</w:t>
      </w:r>
      <w:r w:rsidR="0018487A" w:rsidRPr="008459C2">
        <w:t>ecosystem benefit</w:t>
      </w:r>
      <w:r w:rsidR="0018487A">
        <w:t>’</w:t>
      </w:r>
      <w:r w:rsidR="0018487A" w:rsidRPr="008459C2">
        <w:t xml:space="preserve"> could be explicitly defined and applied within valuation frameworks to reflect this (Wallace, 2007; Fisher and Turner, 2008)</w:t>
      </w:r>
      <w:r w:rsidR="00DD19C6">
        <w:t xml:space="preserve">. </w:t>
      </w:r>
      <w:r w:rsidR="0018487A" w:rsidRPr="008459C2">
        <w:t>Th</w:t>
      </w:r>
      <w:r>
        <w:t>e proposed methodology</w:t>
      </w:r>
      <w:r w:rsidR="0018487A" w:rsidRPr="008459C2">
        <w:t xml:space="preserve"> will therefore also use the term ‘</w:t>
      </w:r>
      <w:r w:rsidR="0018487A">
        <w:t>environmental benefit</w:t>
      </w:r>
      <w:r w:rsidR="0018487A" w:rsidRPr="008459C2">
        <w:t>’</w:t>
      </w:r>
      <w:r w:rsidR="0018487A">
        <w:t>, which is</w:t>
      </w:r>
      <w:r w:rsidR="0018487A" w:rsidRPr="008459C2">
        <w:t xml:space="preserve"> defined as the point at which a direct gain in human welfare provided</w:t>
      </w:r>
      <w:r w:rsidR="0018487A" w:rsidRPr="007F74BA">
        <w:t xml:space="preserve"> by environmental services is realised (adapted from Fisher et al., 2009).</w:t>
      </w:r>
      <w:r w:rsidR="003C39B9">
        <w:t xml:space="preserve">  </w:t>
      </w:r>
      <w:r w:rsidR="003C39B9" w:rsidRPr="00325AF6">
        <w:t>Environmental benefits can be considered synonymous with ‘goods’ as defined in the UK National Ecosystem Assessment (2011), but is more easily interpreted as an overarching classification that includes benefits beyond the generation of tangible objects.</w:t>
      </w:r>
    </w:p>
    <w:p w:rsidR="009D2CAD" w:rsidRDefault="009D2CAD" w:rsidP="00CF681C">
      <w:pPr>
        <w:spacing w:line="360" w:lineRule="auto"/>
        <w:jc w:val="left"/>
      </w:pPr>
    </w:p>
    <w:p w:rsidR="0018487A" w:rsidRPr="00EC1692" w:rsidRDefault="00EC1692" w:rsidP="00CF681C">
      <w:pPr>
        <w:spacing w:line="360" w:lineRule="auto"/>
        <w:jc w:val="left"/>
        <w:rPr>
          <w:b/>
        </w:rPr>
      </w:pPr>
      <w:r>
        <w:rPr>
          <w:b/>
        </w:rPr>
        <w:t xml:space="preserve">3.2 </w:t>
      </w:r>
      <w:r w:rsidR="00525A93" w:rsidRPr="00EC1692">
        <w:rPr>
          <w:b/>
        </w:rPr>
        <w:t>Site characterisation and identification of stakeholders</w:t>
      </w:r>
    </w:p>
    <w:p w:rsidR="002F43F2" w:rsidRDefault="002F43F2" w:rsidP="00CF681C">
      <w:pPr>
        <w:spacing w:line="360" w:lineRule="auto"/>
        <w:jc w:val="left"/>
      </w:pPr>
      <w:r w:rsidRPr="002F43F2">
        <w:t>The concept of environmental benefits is anthropocentric</w:t>
      </w:r>
      <w:r w:rsidR="00D74624">
        <w:t>.</w:t>
      </w:r>
      <w:r w:rsidR="00310C9A">
        <w:t xml:space="preserve"> </w:t>
      </w:r>
      <w:r w:rsidR="00D74624">
        <w:t>At</w:t>
      </w:r>
      <w:r w:rsidRPr="002F43F2">
        <w:t xml:space="preserve"> the outset of any assessment it is important to understand the social, economic and cultural issues within the local area</w:t>
      </w:r>
      <w:r w:rsidR="00526705">
        <w:t xml:space="preserve"> where an assessment is required</w:t>
      </w:r>
      <w:r w:rsidRPr="002F43F2">
        <w:t xml:space="preserve">, as these are integral to the realisation and perception of </w:t>
      </w:r>
      <w:r w:rsidR="004A37A6">
        <w:t xml:space="preserve">environmental </w:t>
      </w:r>
      <w:r w:rsidRPr="002F43F2">
        <w:t>benefits</w:t>
      </w:r>
      <w:r w:rsidR="00DD19C6">
        <w:t xml:space="preserve">. </w:t>
      </w:r>
      <w:r w:rsidR="004A37A6">
        <w:t>Such understanding is gained by collating i</w:t>
      </w:r>
      <w:r>
        <w:t xml:space="preserve">nformation on the socio-demographic characteristics of the local population, </w:t>
      </w:r>
      <w:r w:rsidR="00486905">
        <w:t xml:space="preserve">land use, </w:t>
      </w:r>
      <w:r>
        <w:t>economic activity and employment</w:t>
      </w:r>
      <w:r w:rsidR="004A37A6">
        <w:t>, as well as the environmental characteristics of the area (</w:t>
      </w:r>
      <w:r w:rsidR="00C85E4B">
        <w:t xml:space="preserve">including </w:t>
      </w:r>
      <w:r w:rsidR="004A37A6">
        <w:t xml:space="preserve">existing </w:t>
      </w:r>
      <w:r w:rsidR="00454969">
        <w:t xml:space="preserve">environmental </w:t>
      </w:r>
      <w:r w:rsidR="004A37A6">
        <w:t>protection measures)</w:t>
      </w:r>
      <w:r w:rsidR="00DD19C6">
        <w:t xml:space="preserve">. </w:t>
      </w:r>
      <w:r w:rsidR="004A37A6">
        <w:t xml:space="preserve">Understanding the character and use of the area helps to identify </w:t>
      </w:r>
      <w:r w:rsidR="00FA0850">
        <w:t>stakeholders (organisations and individuals)</w:t>
      </w:r>
      <w:r w:rsidR="006036F2">
        <w:t xml:space="preserve"> from whom specific information can be sought</w:t>
      </w:r>
      <w:r w:rsidR="00DD19C6">
        <w:t xml:space="preserve">. </w:t>
      </w:r>
      <w:r w:rsidR="00ED6314">
        <w:t xml:space="preserve">These stakeholders </w:t>
      </w:r>
      <w:r w:rsidR="0083078D">
        <w:t>may</w:t>
      </w:r>
      <w:r w:rsidR="00ED6314">
        <w:t xml:space="preserve"> not all be local</w:t>
      </w:r>
      <w:r w:rsidR="0083078D">
        <w:t>; it is likely that</w:t>
      </w:r>
      <w:r w:rsidR="00ED6314">
        <w:t xml:space="preserve"> there will </w:t>
      </w:r>
      <w:r w:rsidR="009A2242">
        <w:t xml:space="preserve">often </w:t>
      </w:r>
      <w:r w:rsidR="00ED6314">
        <w:t>be regional</w:t>
      </w:r>
      <w:r w:rsidR="00D74624">
        <w:t>,</w:t>
      </w:r>
      <w:r w:rsidR="00ED6314">
        <w:t xml:space="preserve"> national </w:t>
      </w:r>
      <w:r w:rsidR="00D74624">
        <w:t xml:space="preserve">and </w:t>
      </w:r>
      <w:r w:rsidR="007741CF">
        <w:t xml:space="preserve">potentially </w:t>
      </w:r>
      <w:r w:rsidR="00D74624">
        <w:t xml:space="preserve">international </w:t>
      </w:r>
      <w:r w:rsidR="00ED6314">
        <w:t>interest in the area.</w:t>
      </w:r>
    </w:p>
    <w:p w:rsidR="00C93B89" w:rsidRDefault="00C93B89" w:rsidP="00CF681C">
      <w:pPr>
        <w:spacing w:line="360" w:lineRule="auto"/>
        <w:jc w:val="left"/>
      </w:pPr>
    </w:p>
    <w:p w:rsidR="0018487A" w:rsidRPr="00EC1692" w:rsidRDefault="00EC1692" w:rsidP="00CF681C">
      <w:pPr>
        <w:spacing w:line="360" w:lineRule="auto"/>
        <w:jc w:val="left"/>
        <w:rPr>
          <w:b/>
        </w:rPr>
      </w:pPr>
      <w:r>
        <w:rPr>
          <w:b/>
        </w:rPr>
        <w:t xml:space="preserve">3.3 </w:t>
      </w:r>
      <w:r w:rsidR="000F1D65">
        <w:rPr>
          <w:b/>
        </w:rPr>
        <w:t>Identifying relevant e</w:t>
      </w:r>
      <w:r w:rsidR="0018487A" w:rsidRPr="00EC1692">
        <w:rPr>
          <w:b/>
        </w:rPr>
        <w:t xml:space="preserve">nvironmental </w:t>
      </w:r>
      <w:r>
        <w:rPr>
          <w:b/>
        </w:rPr>
        <w:t>benefit</w:t>
      </w:r>
      <w:r w:rsidR="00FB3D8F">
        <w:rPr>
          <w:b/>
        </w:rPr>
        <w:t>s</w:t>
      </w:r>
    </w:p>
    <w:p w:rsidR="0018487A" w:rsidRPr="0009280C" w:rsidRDefault="0018487A" w:rsidP="00CF681C">
      <w:pPr>
        <w:spacing w:line="360" w:lineRule="auto"/>
        <w:jc w:val="left"/>
      </w:pPr>
      <w:r w:rsidRPr="0009280C">
        <w:t xml:space="preserve">A comprehensive inventory of the environmental benefits </w:t>
      </w:r>
      <w:r w:rsidR="00456250">
        <w:t>provided by the site</w:t>
      </w:r>
      <w:r w:rsidRPr="0009280C">
        <w:t xml:space="preserve"> is required at the start of any assessment, so that the full scope of potential impacts can be understood</w:t>
      </w:r>
      <w:r w:rsidR="00DD19C6">
        <w:t xml:space="preserve">. </w:t>
      </w:r>
      <w:r w:rsidR="00684EE6">
        <w:t>The environmental benefits provided may be realised or transferred elsewhere (for example, carbon sequestration and the health benefits of recreation)</w:t>
      </w:r>
      <w:r w:rsidR="002A780F">
        <w:t xml:space="preserve">, but the EBA is concerned with the implications of a development on the supply of </w:t>
      </w:r>
      <w:r w:rsidR="009A2242">
        <w:t xml:space="preserve">all </w:t>
      </w:r>
      <w:r w:rsidR="002A780F">
        <w:t>benefits from the local site</w:t>
      </w:r>
      <w:r w:rsidR="00DD19C6">
        <w:t xml:space="preserve">. </w:t>
      </w:r>
      <w:r w:rsidRPr="0009280C">
        <w:t xml:space="preserve">Local </w:t>
      </w:r>
      <w:r w:rsidR="009A2242">
        <w:t xml:space="preserve">and wider </w:t>
      </w:r>
      <w:r w:rsidRPr="0009280C">
        <w:t xml:space="preserve">knowledge is essential in compiling an environmental benefits inventory for a particular site, requiring consultations with local stakeholders and examination of </w:t>
      </w:r>
      <w:r w:rsidR="005E70CE">
        <w:t xml:space="preserve">any relevant </w:t>
      </w:r>
      <w:r w:rsidRPr="0009280C">
        <w:t>grey literature</w:t>
      </w:r>
      <w:r w:rsidR="00DD19C6">
        <w:t xml:space="preserve">. </w:t>
      </w:r>
    </w:p>
    <w:p w:rsidR="00ED6314" w:rsidRDefault="00ED6314" w:rsidP="00CF681C">
      <w:pPr>
        <w:spacing w:line="360" w:lineRule="auto"/>
        <w:jc w:val="left"/>
      </w:pPr>
    </w:p>
    <w:p w:rsidR="00AE5412" w:rsidRDefault="0018487A" w:rsidP="00CF681C">
      <w:pPr>
        <w:spacing w:line="360" w:lineRule="auto"/>
        <w:jc w:val="left"/>
      </w:pPr>
      <w:r>
        <w:t xml:space="preserve">The creation of </w:t>
      </w:r>
      <w:r w:rsidR="0009280C">
        <w:t xml:space="preserve">an </w:t>
      </w:r>
      <w:r>
        <w:t>inventory is facilitated by a classification framework providing a coherent categorisation of environmental benefits</w:t>
      </w:r>
      <w:r w:rsidR="00DD19C6">
        <w:t xml:space="preserve">. </w:t>
      </w:r>
      <w:r>
        <w:t xml:space="preserve">In this </w:t>
      </w:r>
      <w:r w:rsidR="00437109">
        <w:t>methodology</w:t>
      </w:r>
      <w:r>
        <w:t xml:space="preserve">, a classification framework </w:t>
      </w:r>
      <w:r w:rsidR="00BF5CBA">
        <w:t>was developed</w:t>
      </w:r>
      <w:r>
        <w:t xml:space="preserve"> that </w:t>
      </w:r>
      <w:r w:rsidR="00521BED">
        <w:t>draws heavily</w:t>
      </w:r>
      <w:r w:rsidR="00BC1D1B">
        <w:t xml:space="preserve"> on the existing literature, but </w:t>
      </w:r>
      <w:r w:rsidR="00683847">
        <w:t xml:space="preserve">aims to </w:t>
      </w:r>
      <w:r w:rsidR="00BC1D1B">
        <w:t xml:space="preserve">facilitate operational assessment </w:t>
      </w:r>
      <w:r w:rsidR="00AC032C">
        <w:t>in a specific context</w:t>
      </w:r>
      <w:r w:rsidR="00683847">
        <w:t xml:space="preserve"> rather than provide examples to illustrate a concept</w:t>
      </w:r>
      <w:r w:rsidR="00DD19C6">
        <w:t xml:space="preserve">. </w:t>
      </w:r>
      <w:r w:rsidR="00613DA1">
        <w:t xml:space="preserve">The foundation of the framework was the definition of the </w:t>
      </w:r>
      <w:r>
        <w:t xml:space="preserve">types of </w:t>
      </w:r>
      <w:r w:rsidR="00AE5412">
        <w:t>values</w:t>
      </w:r>
      <w:r>
        <w:t xml:space="preserve"> responsible for benefit provision</w:t>
      </w:r>
      <w:r w:rsidR="00DD19C6">
        <w:t xml:space="preserve">. </w:t>
      </w:r>
      <w:r w:rsidR="00767F1C">
        <w:t>This permits the inclusion of existence, bequest and option values, which form part of the Total Economic Value of an ecosystem (</w:t>
      </w:r>
      <w:proofErr w:type="spellStart"/>
      <w:r w:rsidR="00767F1C">
        <w:t>Barbier</w:t>
      </w:r>
      <w:proofErr w:type="spellEnd"/>
      <w:r w:rsidR="00767F1C">
        <w:t xml:space="preserve"> 1994), and also </w:t>
      </w:r>
      <w:r w:rsidR="00AE5412" w:rsidRPr="00767F1C">
        <w:t>serves as a precursor to an ultimate valuation stage.</w:t>
      </w:r>
      <w:r w:rsidR="00AE5412">
        <w:t xml:space="preserve"> For example, market prices are available for many </w:t>
      </w:r>
      <w:r w:rsidR="00767F1C">
        <w:t>benefits with direct use values,</w:t>
      </w:r>
      <w:r w:rsidR="00AE5412">
        <w:t xml:space="preserve"> whilst costs to avoid or mitigate </w:t>
      </w:r>
      <w:r w:rsidR="00AE5412">
        <w:lastRenderedPageBreak/>
        <w:t xml:space="preserve">damage are often used to </w:t>
      </w:r>
      <w:r w:rsidR="00767F1C">
        <w:t xml:space="preserve">determine indirect use </w:t>
      </w:r>
      <w:r w:rsidR="00AE5412">
        <w:t>value</w:t>
      </w:r>
      <w:r w:rsidR="00767F1C">
        <w:t>s, and stated preference techniques are required to elicit non-use values.</w:t>
      </w:r>
    </w:p>
    <w:p w:rsidR="00AE5412" w:rsidRDefault="00AE5412" w:rsidP="00CF681C">
      <w:pPr>
        <w:spacing w:line="360" w:lineRule="auto"/>
        <w:jc w:val="left"/>
      </w:pPr>
    </w:p>
    <w:p w:rsidR="00BC1D1B" w:rsidRDefault="00767F1C" w:rsidP="00CF681C">
      <w:pPr>
        <w:spacing w:line="360" w:lineRule="auto"/>
        <w:jc w:val="left"/>
      </w:pPr>
      <w:r>
        <w:t>T</w:t>
      </w:r>
      <w:r w:rsidR="00AE5412">
        <w:t xml:space="preserve">he value categories </w:t>
      </w:r>
      <w:r>
        <w:t>were</w:t>
      </w:r>
      <w:r w:rsidR="00AE5412">
        <w:t xml:space="preserve"> </w:t>
      </w:r>
      <w:r>
        <w:t xml:space="preserve">then </w:t>
      </w:r>
      <w:r w:rsidR="00AE5412">
        <w:t>mapped onto environmental service types</w:t>
      </w:r>
      <w:r>
        <w:t xml:space="preserve">, </w:t>
      </w:r>
      <w:r w:rsidR="00AE5412">
        <w:t>as the established typolog</w:t>
      </w:r>
      <w:r>
        <w:t xml:space="preserve">ies provide a comprehensive characterisation of services that prompts the compilation of an extensive inventory of benefits.  </w:t>
      </w:r>
      <w:r w:rsidR="00310C9A">
        <w:t>T</w:t>
      </w:r>
      <w:r w:rsidR="0018487A">
        <w:t xml:space="preserve">he </w:t>
      </w:r>
      <w:r w:rsidR="00525A93">
        <w:t>Millennium Ecosystem Assessment</w:t>
      </w:r>
      <w:r w:rsidR="0018487A">
        <w:t xml:space="preserve"> (2003) typology of</w:t>
      </w:r>
      <w:r w:rsidR="001C7E02">
        <w:t xml:space="preserve"> provisioning</w:t>
      </w:r>
      <w:r w:rsidR="0018487A">
        <w:t>, cultural and regulating services was used</w:t>
      </w:r>
      <w:r w:rsidR="00310C9A">
        <w:t xml:space="preserve">, but supporting </w:t>
      </w:r>
      <w:r w:rsidR="00613DA1">
        <w:t>services were omitted, as they do not directly provide environmental benefits</w:t>
      </w:r>
      <w:r w:rsidR="00DD19C6">
        <w:t xml:space="preserve">. </w:t>
      </w:r>
      <w:r w:rsidR="0018487A">
        <w:t>An additional</w:t>
      </w:r>
      <w:r w:rsidR="00613DA1">
        <w:t xml:space="preserve"> category of carrier services was,</w:t>
      </w:r>
      <w:r w:rsidR="0018487A">
        <w:t xml:space="preserve"> </w:t>
      </w:r>
      <w:r w:rsidR="00613DA1">
        <w:t>however,</w:t>
      </w:r>
      <w:r w:rsidR="0018487A">
        <w:t xml:space="preserve"> included (after De Groot, 2006), to describe the provision of space for infrastructure or transport</w:t>
      </w:r>
      <w:r w:rsidR="00DD19C6">
        <w:t xml:space="preserve">. </w:t>
      </w:r>
      <w:r w:rsidR="00613DA1" w:rsidRPr="00703736">
        <w:t>These broad service types were then subdivided into categories of benefits</w:t>
      </w:r>
      <w:r w:rsidR="00703736" w:rsidRPr="00703736">
        <w:t xml:space="preserve"> (</w:t>
      </w:r>
      <w:r w:rsidR="00703736">
        <w:t>after Beaumont et al.</w:t>
      </w:r>
      <w:r w:rsidR="000F1D65">
        <w:t xml:space="preserve">, </w:t>
      </w:r>
      <w:r w:rsidR="00703736">
        <w:t>2008</w:t>
      </w:r>
      <w:r w:rsidR="000F1D65">
        <w:t xml:space="preserve">; </w:t>
      </w:r>
      <w:proofErr w:type="spellStart"/>
      <w:r w:rsidR="00703736">
        <w:t>Balmford</w:t>
      </w:r>
      <w:proofErr w:type="spellEnd"/>
      <w:r w:rsidR="00703736">
        <w:t xml:space="preserve"> et al.</w:t>
      </w:r>
      <w:r w:rsidR="000F1D65">
        <w:t xml:space="preserve">, </w:t>
      </w:r>
      <w:r w:rsidR="00703736">
        <w:t>2008</w:t>
      </w:r>
      <w:r w:rsidR="000F1D65">
        <w:t xml:space="preserve">; </w:t>
      </w:r>
      <w:r w:rsidR="00703736">
        <w:t>Saunders et al.</w:t>
      </w:r>
      <w:r w:rsidR="000F1D65">
        <w:t xml:space="preserve">, </w:t>
      </w:r>
      <w:r w:rsidR="00703736">
        <w:t>2010).</w:t>
      </w:r>
    </w:p>
    <w:p w:rsidR="00AE5412" w:rsidRDefault="00AE5412" w:rsidP="00CF681C">
      <w:pPr>
        <w:spacing w:line="360" w:lineRule="auto"/>
        <w:jc w:val="left"/>
      </w:pPr>
    </w:p>
    <w:p w:rsidR="00AE5412" w:rsidRDefault="00AE5412" w:rsidP="00CF681C">
      <w:pPr>
        <w:spacing w:line="360" w:lineRule="auto"/>
        <w:jc w:val="left"/>
      </w:pPr>
      <w:r w:rsidRPr="00231D94">
        <w:t>The inventory is completed by listing, within the relevant categories, all the specific benefits provided by the site</w:t>
      </w:r>
      <w:r>
        <w:t xml:space="preserve">. </w:t>
      </w:r>
      <w:r w:rsidDel="00267030">
        <w:t>Examples of t</w:t>
      </w:r>
      <w:r w:rsidRPr="00231D94" w:rsidDel="00267030">
        <w:t xml:space="preserve">he expected benefits from a UK </w:t>
      </w:r>
      <w:proofErr w:type="spellStart"/>
      <w:r w:rsidRPr="00231D94" w:rsidDel="00267030">
        <w:t>macrotidal</w:t>
      </w:r>
      <w:proofErr w:type="spellEnd"/>
      <w:r w:rsidRPr="00231D94" w:rsidDel="00267030">
        <w:t xml:space="preserve"> estuary have been used as an example to</w:t>
      </w:r>
      <w:r w:rsidDel="00267030">
        <w:t xml:space="preserve"> illustrate how the inventory could be populated (</w:t>
      </w:r>
      <w:r w:rsidR="00B45536">
        <w:t>Table 1</w:t>
      </w:r>
      <w:r w:rsidDel="00267030">
        <w:t>).</w:t>
      </w:r>
    </w:p>
    <w:p w:rsidR="00CC3765" w:rsidRDefault="00CC3765" w:rsidP="00CF681C">
      <w:pPr>
        <w:spacing w:line="360" w:lineRule="auto"/>
        <w:jc w:val="left"/>
      </w:pPr>
    </w:p>
    <w:p w:rsidR="00AC7995" w:rsidRPr="00F43D69" w:rsidRDefault="00AC7995" w:rsidP="00AC7995">
      <w:pPr>
        <w:pStyle w:val="Caption"/>
        <w:jc w:val="center"/>
        <w:rPr>
          <w:b w:val="0"/>
        </w:rPr>
      </w:pPr>
      <w:bookmarkStart w:id="0" w:name="_Ref345355139"/>
      <w:bookmarkStart w:id="1" w:name="_Ref347379980"/>
      <w:r>
        <w:t xml:space="preserve">Table </w:t>
      </w:r>
      <w:bookmarkEnd w:id="0"/>
      <w:bookmarkEnd w:id="1"/>
      <w:r>
        <w:t xml:space="preserve">1. </w:t>
      </w:r>
      <w:r>
        <w:rPr>
          <w:b w:val="0"/>
        </w:rPr>
        <w:t xml:space="preserve">An environmental benefits inventory for a generic UK </w:t>
      </w:r>
      <w:proofErr w:type="spellStart"/>
      <w:r>
        <w:rPr>
          <w:b w:val="0"/>
        </w:rPr>
        <w:t>macrotidal</w:t>
      </w:r>
      <w:proofErr w:type="spellEnd"/>
      <w:r>
        <w:rPr>
          <w:b w:val="0"/>
        </w:rPr>
        <w:t xml:space="preserve"> estuary</w:t>
      </w:r>
    </w:p>
    <w:tbl>
      <w:tblPr>
        <w:tblW w:w="8674" w:type="dxa"/>
        <w:jc w:val="center"/>
        <w:tblLayout w:type="fixed"/>
        <w:tblLook w:val="00A0" w:firstRow="1" w:lastRow="0" w:firstColumn="1" w:lastColumn="0" w:noHBand="0" w:noVBand="0"/>
      </w:tblPr>
      <w:tblGrid>
        <w:gridCol w:w="2381"/>
        <w:gridCol w:w="1077"/>
        <w:gridCol w:w="2098"/>
        <w:gridCol w:w="3118"/>
      </w:tblGrid>
      <w:tr w:rsidR="00AC7995" w:rsidRPr="000668CD" w:rsidTr="00BC5C2B">
        <w:trPr>
          <w:jc w:val="center"/>
        </w:trPr>
        <w:tc>
          <w:tcPr>
            <w:tcW w:w="2381" w:type="dxa"/>
            <w:tcBorders>
              <w:top w:val="single" w:sz="12" w:space="0" w:color="auto"/>
            </w:tcBorders>
            <w:vAlign w:val="bottom"/>
          </w:tcPr>
          <w:p w:rsidR="00AC7995" w:rsidRPr="000668CD" w:rsidRDefault="00AC7995" w:rsidP="00BC5C2B">
            <w:pPr>
              <w:spacing w:before="60" w:after="60"/>
              <w:jc w:val="left"/>
              <w:rPr>
                <w:b/>
                <w:sz w:val="16"/>
                <w:szCs w:val="16"/>
              </w:rPr>
            </w:pPr>
            <w:r w:rsidRPr="000668CD">
              <w:rPr>
                <w:b/>
                <w:sz w:val="16"/>
                <w:szCs w:val="16"/>
              </w:rPr>
              <w:t>Type of value</w:t>
            </w:r>
          </w:p>
        </w:tc>
        <w:tc>
          <w:tcPr>
            <w:tcW w:w="1077" w:type="dxa"/>
            <w:tcBorders>
              <w:top w:val="single" w:sz="12" w:space="0" w:color="auto"/>
            </w:tcBorders>
            <w:vAlign w:val="bottom"/>
          </w:tcPr>
          <w:p w:rsidR="00AC7995" w:rsidRPr="000668CD" w:rsidRDefault="00AC7995" w:rsidP="00BC5C2B">
            <w:pPr>
              <w:spacing w:before="60" w:after="60"/>
              <w:jc w:val="left"/>
              <w:rPr>
                <w:b/>
                <w:sz w:val="16"/>
                <w:szCs w:val="16"/>
              </w:rPr>
            </w:pPr>
            <w:r w:rsidRPr="000668CD">
              <w:rPr>
                <w:b/>
                <w:sz w:val="16"/>
                <w:szCs w:val="16"/>
              </w:rPr>
              <w:t xml:space="preserve">Service </w:t>
            </w:r>
            <w:r>
              <w:rPr>
                <w:b/>
                <w:sz w:val="16"/>
                <w:szCs w:val="16"/>
              </w:rPr>
              <w:t>type</w:t>
            </w:r>
          </w:p>
        </w:tc>
        <w:tc>
          <w:tcPr>
            <w:tcW w:w="2098" w:type="dxa"/>
            <w:tcBorders>
              <w:top w:val="single" w:sz="12" w:space="0" w:color="auto"/>
            </w:tcBorders>
            <w:vAlign w:val="bottom"/>
          </w:tcPr>
          <w:p w:rsidR="00AC7995" w:rsidRPr="000668CD" w:rsidRDefault="00AC7995" w:rsidP="00BC5C2B">
            <w:pPr>
              <w:spacing w:before="60" w:after="60"/>
              <w:jc w:val="left"/>
              <w:rPr>
                <w:b/>
                <w:sz w:val="16"/>
                <w:szCs w:val="16"/>
              </w:rPr>
            </w:pPr>
            <w:r>
              <w:rPr>
                <w:b/>
                <w:sz w:val="16"/>
                <w:szCs w:val="16"/>
              </w:rPr>
              <w:t>Benefit/Value</w:t>
            </w:r>
            <w:r w:rsidRPr="000668CD">
              <w:rPr>
                <w:b/>
                <w:sz w:val="16"/>
                <w:szCs w:val="16"/>
              </w:rPr>
              <w:t xml:space="preserve"> </w:t>
            </w:r>
            <w:r>
              <w:rPr>
                <w:b/>
                <w:sz w:val="16"/>
                <w:szCs w:val="16"/>
              </w:rPr>
              <w:t>category</w:t>
            </w:r>
          </w:p>
        </w:tc>
        <w:tc>
          <w:tcPr>
            <w:tcW w:w="3118" w:type="dxa"/>
            <w:tcBorders>
              <w:top w:val="single" w:sz="12" w:space="0" w:color="auto"/>
            </w:tcBorders>
          </w:tcPr>
          <w:p w:rsidR="00AC7995" w:rsidRDefault="00AC7995" w:rsidP="00BC5C2B">
            <w:pPr>
              <w:spacing w:before="60" w:after="60"/>
              <w:jc w:val="left"/>
              <w:rPr>
                <w:b/>
                <w:sz w:val="16"/>
                <w:szCs w:val="16"/>
              </w:rPr>
            </w:pPr>
            <w:r>
              <w:rPr>
                <w:b/>
                <w:sz w:val="16"/>
                <w:szCs w:val="16"/>
              </w:rPr>
              <w:t>Examples of specific benefits</w:t>
            </w:r>
          </w:p>
        </w:tc>
      </w:tr>
      <w:tr w:rsidR="00AC7995" w:rsidRPr="000668CD" w:rsidTr="00BC5C2B">
        <w:trPr>
          <w:jc w:val="center"/>
        </w:trPr>
        <w:tc>
          <w:tcPr>
            <w:tcW w:w="2381" w:type="dxa"/>
            <w:tcBorders>
              <w:top w:val="single" w:sz="12" w:space="0" w:color="auto"/>
            </w:tcBorders>
            <w:vAlign w:val="center"/>
          </w:tcPr>
          <w:p w:rsidR="00AC7995" w:rsidRPr="000668CD" w:rsidRDefault="00AC7995" w:rsidP="00BC5C2B">
            <w:pPr>
              <w:spacing w:before="60"/>
              <w:rPr>
                <w:sz w:val="16"/>
                <w:szCs w:val="16"/>
              </w:rPr>
            </w:pPr>
            <w:r w:rsidRPr="000668CD">
              <w:rPr>
                <w:sz w:val="16"/>
                <w:szCs w:val="16"/>
              </w:rPr>
              <w:t xml:space="preserve">Direct Use </w:t>
            </w:r>
            <w:r>
              <w:rPr>
                <w:sz w:val="16"/>
                <w:szCs w:val="16"/>
              </w:rPr>
              <w:t>(consumptive)</w:t>
            </w:r>
          </w:p>
        </w:tc>
        <w:tc>
          <w:tcPr>
            <w:tcW w:w="1077" w:type="dxa"/>
            <w:tcBorders>
              <w:top w:val="single" w:sz="12" w:space="0" w:color="auto"/>
            </w:tcBorders>
            <w:vAlign w:val="center"/>
          </w:tcPr>
          <w:p w:rsidR="00AC7995" w:rsidRPr="000668CD" w:rsidRDefault="00AC7995" w:rsidP="00BC5C2B">
            <w:pPr>
              <w:spacing w:before="60"/>
              <w:rPr>
                <w:sz w:val="16"/>
                <w:szCs w:val="16"/>
              </w:rPr>
            </w:pPr>
            <w:r>
              <w:rPr>
                <w:sz w:val="16"/>
                <w:szCs w:val="16"/>
              </w:rPr>
              <w:t>Provisioning</w:t>
            </w:r>
          </w:p>
        </w:tc>
        <w:tc>
          <w:tcPr>
            <w:tcW w:w="2098" w:type="dxa"/>
            <w:tcBorders>
              <w:top w:val="single" w:sz="12" w:space="0" w:color="auto"/>
            </w:tcBorders>
            <w:vAlign w:val="center"/>
          </w:tcPr>
          <w:p w:rsidR="00AC7995" w:rsidRPr="000668CD" w:rsidRDefault="00AC7995" w:rsidP="00BC5C2B">
            <w:pPr>
              <w:spacing w:before="60"/>
              <w:rPr>
                <w:sz w:val="16"/>
                <w:szCs w:val="16"/>
              </w:rPr>
            </w:pPr>
            <w:r w:rsidRPr="000668CD">
              <w:rPr>
                <w:sz w:val="16"/>
                <w:szCs w:val="16"/>
              </w:rPr>
              <w:t>Food</w:t>
            </w:r>
          </w:p>
        </w:tc>
        <w:tc>
          <w:tcPr>
            <w:tcW w:w="3118" w:type="dxa"/>
            <w:tcBorders>
              <w:top w:val="single" w:sz="12" w:space="0" w:color="auto"/>
            </w:tcBorders>
          </w:tcPr>
          <w:p w:rsidR="00AC7995" w:rsidRPr="000668CD" w:rsidRDefault="00AC7995" w:rsidP="00BC5C2B">
            <w:pPr>
              <w:spacing w:before="60"/>
              <w:rPr>
                <w:sz w:val="16"/>
                <w:szCs w:val="16"/>
              </w:rPr>
            </w:pPr>
            <w:r>
              <w:rPr>
                <w:sz w:val="16"/>
                <w:szCs w:val="16"/>
              </w:rPr>
              <w:t>Fish, shellfish, marine plants and algae</w:t>
            </w:r>
          </w:p>
        </w:tc>
      </w:tr>
      <w:tr w:rsidR="00AC7995" w:rsidRPr="000668CD" w:rsidTr="00BC5C2B">
        <w:trPr>
          <w:jc w:val="center"/>
        </w:trPr>
        <w:tc>
          <w:tcPr>
            <w:tcW w:w="2381" w:type="dxa"/>
            <w:tcBorders>
              <w:bottom w:val="single" w:sz="4" w:space="0" w:color="auto"/>
            </w:tcBorders>
          </w:tcPr>
          <w:p w:rsidR="00AC7995" w:rsidRPr="000668CD" w:rsidRDefault="00AC7995" w:rsidP="00BC5C2B">
            <w:pPr>
              <w:spacing w:before="60" w:after="60"/>
              <w:rPr>
                <w:sz w:val="16"/>
                <w:szCs w:val="16"/>
              </w:rPr>
            </w:pPr>
          </w:p>
        </w:tc>
        <w:tc>
          <w:tcPr>
            <w:tcW w:w="1077" w:type="dxa"/>
            <w:tcBorders>
              <w:bottom w:val="single" w:sz="4" w:space="0" w:color="auto"/>
            </w:tcBorders>
          </w:tcPr>
          <w:p w:rsidR="00AC7995" w:rsidRPr="000668CD" w:rsidRDefault="00AC7995" w:rsidP="00BC5C2B">
            <w:pPr>
              <w:spacing w:before="60" w:after="60"/>
              <w:rPr>
                <w:sz w:val="16"/>
                <w:szCs w:val="16"/>
              </w:rPr>
            </w:pPr>
          </w:p>
        </w:tc>
        <w:tc>
          <w:tcPr>
            <w:tcW w:w="2098" w:type="dxa"/>
            <w:tcBorders>
              <w:bottom w:val="single" w:sz="4" w:space="0" w:color="auto"/>
            </w:tcBorders>
          </w:tcPr>
          <w:p w:rsidR="00AC7995" w:rsidRPr="000668CD" w:rsidRDefault="00AC7995" w:rsidP="00BC5C2B">
            <w:pPr>
              <w:spacing w:before="60" w:after="60"/>
              <w:rPr>
                <w:sz w:val="16"/>
                <w:szCs w:val="16"/>
              </w:rPr>
            </w:pPr>
            <w:r w:rsidRPr="000668CD">
              <w:rPr>
                <w:sz w:val="16"/>
                <w:szCs w:val="16"/>
              </w:rPr>
              <w:t>Raw materials</w:t>
            </w:r>
          </w:p>
        </w:tc>
        <w:tc>
          <w:tcPr>
            <w:tcW w:w="3118" w:type="dxa"/>
            <w:tcBorders>
              <w:bottom w:val="single" w:sz="4" w:space="0" w:color="auto"/>
            </w:tcBorders>
          </w:tcPr>
          <w:p w:rsidR="00AC7995" w:rsidRPr="000668CD" w:rsidRDefault="00AC7995" w:rsidP="00BC5C2B">
            <w:pPr>
              <w:spacing w:before="60" w:after="60"/>
              <w:rPr>
                <w:sz w:val="16"/>
                <w:szCs w:val="16"/>
              </w:rPr>
            </w:pPr>
            <w:r>
              <w:rPr>
                <w:sz w:val="16"/>
                <w:szCs w:val="16"/>
              </w:rPr>
              <w:t>Bait, aggregates, industrial products, biofuels</w:t>
            </w:r>
          </w:p>
        </w:tc>
      </w:tr>
      <w:tr w:rsidR="00AC7995" w:rsidRPr="000668CD" w:rsidTr="00BC5C2B">
        <w:trPr>
          <w:jc w:val="center"/>
        </w:trPr>
        <w:tc>
          <w:tcPr>
            <w:tcW w:w="2381" w:type="dxa"/>
            <w:tcBorders>
              <w:top w:val="single" w:sz="4" w:space="0" w:color="auto"/>
            </w:tcBorders>
            <w:vAlign w:val="center"/>
          </w:tcPr>
          <w:p w:rsidR="00AC7995" w:rsidRPr="000668CD" w:rsidRDefault="00AC7995" w:rsidP="00BC5C2B">
            <w:pPr>
              <w:spacing w:before="60"/>
              <w:rPr>
                <w:sz w:val="16"/>
                <w:szCs w:val="16"/>
              </w:rPr>
            </w:pPr>
            <w:r w:rsidRPr="000668CD">
              <w:rPr>
                <w:sz w:val="16"/>
                <w:szCs w:val="16"/>
              </w:rPr>
              <w:t xml:space="preserve">Direct Use </w:t>
            </w:r>
            <w:r>
              <w:rPr>
                <w:sz w:val="16"/>
                <w:szCs w:val="16"/>
              </w:rPr>
              <w:t>(non-consumptive)</w:t>
            </w:r>
          </w:p>
        </w:tc>
        <w:tc>
          <w:tcPr>
            <w:tcW w:w="1077" w:type="dxa"/>
            <w:tcBorders>
              <w:top w:val="single" w:sz="4" w:space="0" w:color="auto"/>
            </w:tcBorders>
          </w:tcPr>
          <w:p w:rsidR="00AC7995" w:rsidRPr="000668CD" w:rsidRDefault="00AC7995" w:rsidP="00BC5C2B">
            <w:pPr>
              <w:spacing w:before="60"/>
              <w:rPr>
                <w:sz w:val="16"/>
                <w:szCs w:val="16"/>
              </w:rPr>
            </w:pPr>
            <w:r>
              <w:rPr>
                <w:sz w:val="16"/>
                <w:szCs w:val="16"/>
              </w:rPr>
              <w:t>Carrier</w:t>
            </w:r>
          </w:p>
        </w:tc>
        <w:tc>
          <w:tcPr>
            <w:tcW w:w="2098" w:type="dxa"/>
            <w:tcBorders>
              <w:top w:val="single" w:sz="4" w:space="0" w:color="auto"/>
            </w:tcBorders>
          </w:tcPr>
          <w:p w:rsidR="00AC7995" w:rsidRPr="000668CD" w:rsidRDefault="00AC7995" w:rsidP="00BC5C2B">
            <w:pPr>
              <w:spacing w:before="60"/>
              <w:rPr>
                <w:sz w:val="16"/>
                <w:szCs w:val="16"/>
              </w:rPr>
            </w:pPr>
            <w:r>
              <w:rPr>
                <w:sz w:val="16"/>
                <w:szCs w:val="16"/>
              </w:rPr>
              <w:t>Provision of space</w:t>
            </w:r>
          </w:p>
        </w:tc>
        <w:tc>
          <w:tcPr>
            <w:tcW w:w="3118" w:type="dxa"/>
            <w:tcBorders>
              <w:top w:val="single" w:sz="4" w:space="0" w:color="auto"/>
            </w:tcBorders>
          </w:tcPr>
          <w:p w:rsidR="00AC7995" w:rsidRDefault="00AC7995" w:rsidP="00BC5C2B">
            <w:pPr>
              <w:spacing w:before="60"/>
              <w:rPr>
                <w:sz w:val="16"/>
                <w:szCs w:val="16"/>
              </w:rPr>
            </w:pPr>
            <w:r>
              <w:rPr>
                <w:sz w:val="16"/>
                <w:szCs w:val="16"/>
              </w:rPr>
              <w:t>Transport, mooring, energy installations</w:t>
            </w:r>
          </w:p>
        </w:tc>
      </w:tr>
      <w:tr w:rsidR="00AC7995" w:rsidRPr="000668CD" w:rsidTr="00BC5C2B">
        <w:trPr>
          <w:jc w:val="center"/>
        </w:trPr>
        <w:tc>
          <w:tcPr>
            <w:tcW w:w="2381" w:type="dxa"/>
          </w:tcPr>
          <w:p w:rsidR="00AC7995" w:rsidRPr="000668CD" w:rsidRDefault="00AC7995" w:rsidP="00BC5C2B">
            <w:pPr>
              <w:spacing w:before="60"/>
              <w:rPr>
                <w:sz w:val="16"/>
                <w:szCs w:val="16"/>
              </w:rPr>
            </w:pPr>
          </w:p>
        </w:tc>
        <w:tc>
          <w:tcPr>
            <w:tcW w:w="1077" w:type="dxa"/>
          </w:tcPr>
          <w:p w:rsidR="00AC7995" w:rsidRPr="000668CD" w:rsidRDefault="00AC7995" w:rsidP="00BC5C2B">
            <w:pPr>
              <w:spacing w:before="60"/>
              <w:rPr>
                <w:sz w:val="16"/>
                <w:szCs w:val="16"/>
              </w:rPr>
            </w:pPr>
            <w:r w:rsidRPr="000668CD">
              <w:rPr>
                <w:sz w:val="16"/>
                <w:szCs w:val="16"/>
              </w:rPr>
              <w:t>Cultural</w:t>
            </w:r>
          </w:p>
        </w:tc>
        <w:tc>
          <w:tcPr>
            <w:tcW w:w="2098" w:type="dxa"/>
          </w:tcPr>
          <w:p w:rsidR="00AC7995" w:rsidRPr="000668CD" w:rsidRDefault="00AC7995" w:rsidP="00BC5C2B">
            <w:pPr>
              <w:spacing w:before="60"/>
              <w:rPr>
                <w:sz w:val="16"/>
                <w:szCs w:val="16"/>
              </w:rPr>
            </w:pPr>
            <w:r>
              <w:rPr>
                <w:sz w:val="16"/>
                <w:szCs w:val="16"/>
              </w:rPr>
              <w:t>Recreation and</w:t>
            </w:r>
            <w:r w:rsidRPr="000668CD">
              <w:rPr>
                <w:sz w:val="16"/>
                <w:szCs w:val="16"/>
              </w:rPr>
              <w:t xml:space="preserve"> tourism</w:t>
            </w:r>
          </w:p>
        </w:tc>
        <w:tc>
          <w:tcPr>
            <w:tcW w:w="3118" w:type="dxa"/>
          </w:tcPr>
          <w:p w:rsidR="00AC7995" w:rsidRPr="000668CD" w:rsidRDefault="00AC7995" w:rsidP="00BC5C2B">
            <w:pPr>
              <w:spacing w:before="60"/>
              <w:rPr>
                <w:sz w:val="16"/>
                <w:szCs w:val="16"/>
              </w:rPr>
            </w:pPr>
            <w:r>
              <w:rPr>
                <w:sz w:val="16"/>
                <w:szCs w:val="16"/>
              </w:rPr>
              <w:t xml:space="preserve">Nature watching, angling, </w:t>
            </w:r>
            <w:proofErr w:type="spellStart"/>
            <w:r>
              <w:rPr>
                <w:sz w:val="16"/>
                <w:szCs w:val="16"/>
              </w:rPr>
              <w:t>watersports</w:t>
            </w:r>
            <w:proofErr w:type="spellEnd"/>
          </w:p>
        </w:tc>
      </w:tr>
      <w:tr w:rsidR="00AC7995" w:rsidRPr="000668CD" w:rsidTr="00BC5C2B">
        <w:trPr>
          <w:jc w:val="center"/>
        </w:trPr>
        <w:tc>
          <w:tcPr>
            <w:tcW w:w="2381" w:type="dxa"/>
          </w:tcPr>
          <w:p w:rsidR="00AC7995" w:rsidRPr="000668CD" w:rsidRDefault="00AC7995" w:rsidP="00BC5C2B">
            <w:pPr>
              <w:spacing w:before="60"/>
              <w:rPr>
                <w:sz w:val="16"/>
                <w:szCs w:val="16"/>
              </w:rPr>
            </w:pPr>
          </w:p>
        </w:tc>
        <w:tc>
          <w:tcPr>
            <w:tcW w:w="1077" w:type="dxa"/>
          </w:tcPr>
          <w:p w:rsidR="00AC7995" w:rsidRPr="000668CD" w:rsidRDefault="00AC7995" w:rsidP="00BC5C2B">
            <w:pPr>
              <w:spacing w:before="60"/>
              <w:rPr>
                <w:sz w:val="16"/>
                <w:szCs w:val="16"/>
              </w:rPr>
            </w:pPr>
          </w:p>
        </w:tc>
        <w:tc>
          <w:tcPr>
            <w:tcW w:w="2098" w:type="dxa"/>
          </w:tcPr>
          <w:p w:rsidR="00AC7995" w:rsidRPr="000668CD" w:rsidRDefault="00AC7995" w:rsidP="00BC5C2B">
            <w:pPr>
              <w:spacing w:before="60"/>
              <w:rPr>
                <w:sz w:val="16"/>
                <w:szCs w:val="16"/>
              </w:rPr>
            </w:pPr>
            <w:r w:rsidRPr="000668CD">
              <w:rPr>
                <w:sz w:val="16"/>
                <w:szCs w:val="16"/>
              </w:rPr>
              <w:t>Cognitive development</w:t>
            </w:r>
          </w:p>
        </w:tc>
        <w:tc>
          <w:tcPr>
            <w:tcW w:w="3118" w:type="dxa"/>
          </w:tcPr>
          <w:p w:rsidR="00AC7995" w:rsidRPr="000668CD" w:rsidRDefault="00AC7995" w:rsidP="00BC5C2B">
            <w:pPr>
              <w:spacing w:before="60"/>
              <w:rPr>
                <w:sz w:val="16"/>
                <w:szCs w:val="16"/>
              </w:rPr>
            </w:pPr>
            <w:r>
              <w:rPr>
                <w:sz w:val="16"/>
                <w:szCs w:val="16"/>
              </w:rPr>
              <w:t>Education, research</w:t>
            </w:r>
          </w:p>
        </w:tc>
      </w:tr>
      <w:tr w:rsidR="00AC7995" w:rsidRPr="000668CD" w:rsidTr="00BC5C2B">
        <w:trPr>
          <w:jc w:val="center"/>
        </w:trPr>
        <w:tc>
          <w:tcPr>
            <w:tcW w:w="2381" w:type="dxa"/>
          </w:tcPr>
          <w:p w:rsidR="00AC7995" w:rsidRPr="000668CD" w:rsidRDefault="00AC7995" w:rsidP="00BC5C2B">
            <w:pPr>
              <w:spacing w:before="60"/>
              <w:rPr>
                <w:sz w:val="16"/>
                <w:szCs w:val="16"/>
              </w:rPr>
            </w:pPr>
          </w:p>
        </w:tc>
        <w:tc>
          <w:tcPr>
            <w:tcW w:w="1077" w:type="dxa"/>
          </w:tcPr>
          <w:p w:rsidR="00AC7995" w:rsidRPr="000668CD" w:rsidRDefault="00AC7995" w:rsidP="00BC5C2B">
            <w:pPr>
              <w:spacing w:before="60"/>
              <w:rPr>
                <w:sz w:val="16"/>
                <w:szCs w:val="16"/>
              </w:rPr>
            </w:pPr>
          </w:p>
        </w:tc>
        <w:tc>
          <w:tcPr>
            <w:tcW w:w="2098" w:type="dxa"/>
          </w:tcPr>
          <w:p w:rsidR="00AC7995" w:rsidRPr="000668CD" w:rsidRDefault="00AC7995" w:rsidP="00BC5C2B">
            <w:pPr>
              <w:spacing w:before="60"/>
              <w:rPr>
                <w:sz w:val="16"/>
                <w:szCs w:val="16"/>
              </w:rPr>
            </w:pPr>
            <w:r>
              <w:rPr>
                <w:sz w:val="16"/>
                <w:szCs w:val="16"/>
              </w:rPr>
              <w:t>Heritage and</w:t>
            </w:r>
            <w:r w:rsidRPr="000668CD">
              <w:rPr>
                <w:sz w:val="16"/>
                <w:szCs w:val="16"/>
              </w:rPr>
              <w:t xml:space="preserve"> identity</w:t>
            </w:r>
          </w:p>
        </w:tc>
        <w:tc>
          <w:tcPr>
            <w:tcW w:w="3118" w:type="dxa"/>
          </w:tcPr>
          <w:p w:rsidR="00AC7995" w:rsidRPr="000668CD" w:rsidRDefault="00AC7995" w:rsidP="00BC5C2B">
            <w:pPr>
              <w:spacing w:before="60"/>
              <w:rPr>
                <w:sz w:val="16"/>
                <w:szCs w:val="16"/>
              </w:rPr>
            </w:pPr>
            <w:r>
              <w:rPr>
                <w:sz w:val="16"/>
                <w:szCs w:val="16"/>
              </w:rPr>
              <w:t>Archaeology, cultural heritage</w:t>
            </w:r>
          </w:p>
        </w:tc>
      </w:tr>
      <w:tr w:rsidR="00AC7995" w:rsidRPr="000668CD" w:rsidTr="00BC5C2B">
        <w:trPr>
          <w:jc w:val="center"/>
        </w:trPr>
        <w:tc>
          <w:tcPr>
            <w:tcW w:w="2381" w:type="dxa"/>
            <w:tcBorders>
              <w:bottom w:val="single" w:sz="4" w:space="0" w:color="auto"/>
            </w:tcBorders>
          </w:tcPr>
          <w:p w:rsidR="00AC7995" w:rsidRPr="000668CD" w:rsidRDefault="00AC7995" w:rsidP="00BC5C2B">
            <w:pPr>
              <w:spacing w:before="60" w:after="60"/>
              <w:rPr>
                <w:sz w:val="16"/>
                <w:szCs w:val="16"/>
              </w:rPr>
            </w:pPr>
          </w:p>
        </w:tc>
        <w:tc>
          <w:tcPr>
            <w:tcW w:w="1077" w:type="dxa"/>
            <w:tcBorders>
              <w:bottom w:val="single" w:sz="4" w:space="0" w:color="auto"/>
            </w:tcBorders>
          </w:tcPr>
          <w:p w:rsidR="00AC7995" w:rsidRPr="000668CD" w:rsidRDefault="00AC7995" w:rsidP="00BC5C2B">
            <w:pPr>
              <w:spacing w:before="60" w:after="60"/>
              <w:rPr>
                <w:sz w:val="16"/>
                <w:szCs w:val="16"/>
              </w:rPr>
            </w:pPr>
          </w:p>
        </w:tc>
        <w:tc>
          <w:tcPr>
            <w:tcW w:w="2098" w:type="dxa"/>
            <w:tcBorders>
              <w:bottom w:val="single" w:sz="4" w:space="0" w:color="auto"/>
            </w:tcBorders>
          </w:tcPr>
          <w:p w:rsidR="00AC7995" w:rsidRPr="000668CD" w:rsidRDefault="00AC7995" w:rsidP="00BC5C2B">
            <w:pPr>
              <w:spacing w:before="60" w:after="60"/>
              <w:rPr>
                <w:sz w:val="16"/>
                <w:szCs w:val="16"/>
              </w:rPr>
            </w:pPr>
            <w:r w:rsidRPr="000668CD">
              <w:rPr>
                <w:sz w:val="16"/>
                <w:szCs w:val="16"/>
              </w:rPr>
              <w:t>Psychological wellbeing</w:t>
            </w:r>
          </w:p>
        </w:tc>
        <w:tc>
          <w:tcPr>
            <w:tcW w:w="3118" w:type="dxa"/>
            <w:tcBorders>
              <w:bottom w:val="single" w:sz="4" w:space="0" w:color="auto"/>
            </w:tcBorders>
          </w:tcPr>
          <w:p w:rsidR="00AC7995" w:rsidRPr="000668CD" w:rsidRDefault="00AC7995" w:rsidP="00BC5C2B">
            <w:pPr>
              <w:spacing w:before="60" w:after="60"/>
              <w:rPr>
                <w:sz w:val="16"/>
                <w:szCs w:val="16"/>
              </w:rPr>
            </w:pPr>
            <w:r>
              <w:rPr>
                <w:sz w:val="16"/>
                <w:szCs w:val="16"/>
              </w:rPr>
              <w:t>Visual amenity, inspiration</w:t>
            </w:r>
          </w:p>
        </w:tc>
      </w:tr>
      <w:tr w:rsidR="00AC7995" w:rsidRPr="000668CD" w:rsidTr="00BC5C2B">
        <w:trPr>
          <w:jc w:val="center"/>
        </w:trPr>
        <w:tc>
          <w:tcPr>
            <w:tcW w:w="2381" w:type="dxa"/>
            <w:tcBorders>
              <w:top w:val="single" w:sz="4" w:space="0" w:color="auto"/>
            </w:tcBorders>
          </w:tcPr>
          <w:p w:rsidR="00AC7995" w:rsidRPr="000668CD" w:rsidRDefault="00AC7995" w:rsidP="00BC5C2B">
            <w:pPr>
              <w:spacing w:before="60"/>
              <w:rPr>
                <w:sz w:val="16"/>
                <w:szCs w:val="16"/>
              </w:rPr>
            </w:pPr>
            <w:r w:rsidRPr="000668CD">
              <w:rPr>
                <w:sz w:val="16"/>
                <w:szCs w:val="16"/>
              </w:rPr>
              <w:t>Indirect Use</w:t>
            </w:r>
          </w:p>
        </w:tc>
        <w:tc>
          <w:tcPr>
            <w:tcW w:w="1077" w:type="dxa"/>
            <w:tcBorders>
              <w:top w:val="single" w:sz="4" w:space="0" w:color="auto"/>
            </w:tcBorders>
          </w:tcPr>
          <w:p w:rsidR="00AC7995" w:rsidRPr="000668CD" w:rsidRDefault="00AC7995" w:rsidP="00BC5C2B">
            <w:pPr>
              <w:spacing w:before="60"/>
              <w:rPr>
                <w:sz w:val="16"/>
                <w:szCs w:val="16"/>
              </w:rPr>
            </w:pPr>
            <w:r w:rsidRPr="000668CD">
              <w:rPr>
                <w:sz w:val="16"/>
                <w:szCs w:val="16"/>
              </w:rPr>
              <w:t>Regulating</w:t>
            </w:r>
          </w:p>
        </w:tc>
        <w:tc>
          <w:tcPr>
            <w:tcW w:w="2098" w:type="dxa"/>
            <w:tcBorders>
              <w:top w:val="single" w:sz="4" w:space="0" w:color="auto"/>
            </w:tcBorders>
          </w:tcPr>
          <w:p w:rsidR="00AC7995" w:rsidRPr="006303EF" w:rsidRDefault="00AC7995" w:rsidP="00BC5C2B">
            <w:pPr>
              <w:spacing w:before="60"/>
              <w:rPr>
                <w:sz w:val="16"/>
                <w:szCs w:val="16"/>
              </w:rPr>
            </w:pPr>
            <w:r>
              <w:rPr>
                <w:sz w:val="16"/>
                <w:szCs w:val="16"/>
              </w:rPr>
              <w:t>Contaminant control</w:t>
            </w:r>
          </w:p>
        </w:tc>
        <w:tc>
          <w:tcPr>
            <w:tcW w:w="3118" w:type="dxa"/>
            <w:tcBorders>
              <w:top w:val="single" w:sz="4" w:space="0" w:color="auto"/>
            </w:tcBorders>
          </w:tcPr>
          <w:p w:rsidR="00AC7995" w:rsidRPr="000668CD" w:rsidRDefault="00AC7995" w:rsidP="00BC5C2B">
            <w:pPr>
              <w:spacing w:before="60"/>
              <w:rPr>
                <w:sz w:val="16"/>
                <w:szCs w:val="16"/>
              </w:rPr>
            </w:pPr>
            <w:r>
              <w:rPr>
                <w:sz w:val="16"/>
                <w:szCs w:val="16"/>
              </w:rPr>
              <w:t>Clean water and air</w:t>
            </w:r>
          </w:p>
        </w:tc>
      </w:tr>
      <w:tr w:rsidR="00AC7995" w:rsidRPr="000668CD" w:rsidTr="00BC5C2B">
        <w:trPr>
          <w:jc w:val="center"/>
        </w:trPr>
        <w:tc>
          <w:tcPr>
            <w:tcW w:w="2381" w:type="dxa"/>
            <w:tcBorders>
              <w:bottom w:val="single" w:sz="4" w:space="0" w:color="auto"/>
            </w:tcBorders>
          </w:tcPr>
          <w:p w:rsidR="00AC7995" w:rsidRPr="000668CD" w:rsidRDefault="00AC7995" w:rsidP="00BC5C2B">
            <w:pPr>
              <w:spacing w:before="60" w:after="60"/>
              <w:rPr>
                <w:sz w:val="16"/>
                <w:szCs w:val="16"/>
              </w:rPr>
            </w:pPr>
          </w:p>
        </w:tc>
        <w:tc>
          <w:tcPr>
            <w:tcW w:w="1077" w:type="dxa"/>
            <w:tcBorders>
              <w:bottom w:val="single" w:sz="4" w:space="0" w:color="auto"/>
            </w:tcBorders>
          </w:tcPr>
          <w:p w:rsidR="00AC7995" w:rsidRPr="000668CD" w:rsidRDefault="00AC7995" w:rsidP="00BC5C2B">
            <w:pPr>
              <w:spacing w:before="60" w:after="60"/>
              <w:rPr>
                <w:sz w:val="16"/>
                <w:szCs w:val="16"/>
              </w:rPr>
            </w:pPr>
          </w:p>
        </w:tc>
        <w:tc>
          <w:tcPr>
            <w:tcW w:w="2098" w:type="dxa"/>
            <w:tcBorders>
              <w:bottom w:val="single" w:sz="4" w:space="0" w:color="auto"/>
            </w:tcBorders>
          </w:tcPr>
          <w:p w:rsidR="00AC7995" w:rsidRPr="000668CD" w:rsidRDefault="00AC7995" w:rsidP="00BC5C2B">
            <w:pPr>
              <w:spacing w:before="60" w:after="60"/>
              <w:rPr>
                <w:sz w:val="16"/>
                <w:szCs w:val="16"/>
              </w:rPr>
            </w:pPr>
            <w:r w:rsidRPr="000668CD">
              <w:rPr>
                <w:sz w:val="16"/>
                <w:szCs w:val="16"/>
              </w:rPr>
              <w:t>Disturbance prevention</w:t>
            </w:r>
          </w:p>
        </w:tc>
        <w:tc>
          <w:tcPr>
            <w:tcW w:w="3118" w:type="dxa"/>
            <w:tcBorders>
              <w:bottom w:val="single" w:sz="4" w:space="0" w:color="auto"/>
            </w:tcBorders>
          </w:tcPr>
          <w:p w:rsidR="00AC7995" w:rsidRPr="000668CD" w:rsidRDefault="00AC7995" w:rsidP="00BC5C2B">
            <w:pPr>
              <w:spacing w:before="60" w:after="60"/>
              <w:rPr>
                <w:sz w:val="16"/>
                <w:szCs w:val="16"/>
              </w:rPr>
            </w:pPr>
            <w:r>
              <w:rPr>
                <w:sz w:val="16"/>
                <w:szCs w:val="16"/>
              </w:rPr>
              <w:t>Flood and erosion control, climate regulation</w:t>
            </w:r>
          </w:p>
        </w:tc>
      </w:tr>
      <w:tr w:rsidR="00AC7995" w:rsidRPr="000668CD" w:rsidTr="00BC5C2B">
        <w:trPr>
          <w:jc w:val="center"/>
        </w:trPr>
        <w:tc>
          <w:tcPr>
            <w:tcW w:w="2381" w:type="dxa"/>
            <w:tcBorders>
              <w:top w:val="single" w:sz="4" w:space="0" w:color="auto"/>
            </w:tcBorders>
          </w:tcPr>
          <w:p w:rsidR="00AC7995" w:rsidRPr="000668CD" w:rsidRDefault="00AC7995" w:rsidP="00BC5C2B">
            <w:pPr>
              <w:spacing w:before="60"/>
              <w:rPr>
                <w:sz w:val="16"/>
                <w:szCs w:val="16"/>
              </w:rPr>
            </w:pPr>
            <w:r w:rsidRPr="000668CD">
              <w:rPr>
                <w:sz w:val="16"/>
                <w:szCs w:val="16"/>
              </w:rPr>
              <w:t>Non-Use</w:t>
            </w:r>
          </w:p>
        </w:tc>
        <w:tc>
          <w:tcPr>
            <w:tcW w:w="1077" w:type="dxa"/>
            <w:tcBorders>
              <w:top w:val="single" w:sz="4" w:space="0" w:color="auto"/>
            </w:tcBorders>
          </w:tcPr>
          <w:p w:rsidR="00AC7995" w:rsidRPr="000668CD" w:rsidRDefault="00AC7995" w:rsidP="00BC5C2B">
            <w:pPr>
              <w:spacing w:before="60"/>
              <w:rPr>
                <w:sz w:val="16"/>
                <w:szCs w:val="16"/>
              </w:rPr>
            </w:pPr>
          </w:p>
        </w:tc>
        <w:tc>
          <w:tcPr>
            <w:tcW w:w="2098" w:type="dxa"/>
            <w:tcBorders>
              <w:top w:val="single" w:sz="4" w:space="0" w:color="auto"/>
            </w:tcBorders>
          </w:tcPr>
          <w:p w:rsidR="00AC7995" w:rsidRPr="000668CD" w:rsidRDefault="00AC7995" w:rsidP="00BC5C2B">
            <w:pPr>
              <w:spacing w:before="60"/>
              <w:rPr>
                <w:sz w:val="16"/>
                <w:szCs w:val="16"/>
              </w:rPr>
            </w:pPr>
            <w:r w:rsidRPr="000668CD">
              <w:rPr>
                <w:sz w:val="16"/>
                <w:szCs w:val="16"/>
              </w:rPr>
              <w:t>Existence</w:t>
            </w:r>
            <w:r>
              <w:rPr>
                <w:sz w:val="16"/>
                <w:szCs w:val="16"/>
              </w:rPr>
              <w:t>, Bequest</w:t>
            </w:r>
          </w:p>
        </w:tc>
        <w:tc>
          <w:tcPr>
            <w:tcW w:w="3118" w:type="dxa"/>
            <w:tcBorders>
              <w:top w:val="single" w:sz="4" w:space="0" w:color="auto"/>
            </w:tcBorders>
          </w:tcPr>
          <w:p w:rsidR="00AC7995" w:rsidRPr="000668CD" w:rsidRDefault="00AC7995" w:rsidP="00BC5C2B">
            <w:pPr>
              <w:spacing w:before="60"/>
              <w:rPr>
                <w:sz w:val="16"/>
                <w:szCs w:val="16"/>
              </w:rPr>
            </w:pPr>
            <w:r>
              <w:rPr>
                <w:sz w:val="16"/>
                <w:szCs w:val="16"/>
              </w:rPr>
              <w:t>Knowledge that adequate habitat is available locally and will continue to be so in future</w:t>
            </w:r>
          </w:p>
        </w:tc>
      </w:tr>
      <w:tr w:rsidR="00AC7995" w:rsidRPr="000668CD" w:rsidTr="00BC5C2B">
        <w:trPr>
          <w:jc w:val="center"/>
        </w:trPr>
        <w:tc>
          <w:tcPr>
            <w:tcW w:w="2381" w:type="dxa"/>
            <w:tcBorders>
              <w:top w:val="single" w:sz="4" w:space="0" w:color="auto"/>
              <w:bottom w:val="single" w:sz="12" w:space="0" w:color="auto"/>
            </w:tcBorders>
          </w:tcPr>
          <w:p w:rsidR="00AC7995" w:rsidRPr="000668CD" w:rsidRDefault="00AC7995" w:rsidP="00BC5C2B">
            <w:pPr>
              <w:spacing w:before="60" w:after="60"/>
              <w:rPr>
                <w:sz w:val="16"/>
                <w:szCs w:val="16"/>
              </w:rPr>
            </w:pPr>
            <w:r>
              <w:rPr>
                <w:sz w:val="16"/>
                <w:szCs w:val="16"/>
              </w:rPr>
              <w:t>Future Use</w:t>
            </w:r>
          </w:p>
        </w:tc>
        <w:tc>
          <w:tcPr>
            <w:tcW w:w="1077" w:type="dxa"/>
            <w:tcBorders>
              <w:top w:val="single" w:sz="4" w:space="0" w:color="auto"/>
              <w:bottom w:val="single" w:sz="12" w:space="0" w:color="auto"/>
            </w:tcBorders>
          </w:tcPr>
          <w:p w:rsidR="00AC7995" w:rsidRPr="000668CD" w:rsidRDefault="00AC7995" w:rsidP="00BC5C2B">
            <w:pPr>
              <w:spacing w:before="60" w:after="60"/>
              <w:rPr>
                <w:sz w:val="16"/>
                <w:szCs w:val="16"/>
              </w:rPr>
            </w:pPr>
          </w:p>
        </w:tc>
        <w:tc>
          <w:tcPr>
            <w:tcW w:w="2098" w:type="dxa"/>
            <w:tcBorders>
              <w:top w:val="single" w:sz="4" w:space="0" w:color="auto"/>
              <w:bottom w:val="single" w:sz="12" w:space="0" w:color="auto"/>
            </w:tcBorders>
          </w:tcPr>
          <w:p w:rsidR="00AC7995" w:rsidRPr="000668CD" w:rsidRDefault="00AC7995" w:rsidP="00BC5C2B">
            <w:pPr>
              <w:spacing w:before="60" w:after="60"/>
              <w:rPr>
                <w:sz w:val="16"/>
                <w:szCs w:val="16"/>
              </w:rPr>
            </w:pPr>
            <w:r>
              <w:rPr>
                <w:sz w:val="16"/>
                <w:szCs w:val="16"/>
              </w:rPr>
              <w:t>Option</w:t>
            </w:r>
          </w:p>
        </w:tc>
        <w:tc>
          <w:tcPr>
            <w:tcW w:w="3118" w:type="dxa"/>
            <w:tcBorders>
              <w:top w:val="single" w:sz="4" w:space="0" w:color="auto"/>
              <w:bottom w:val="single" w:sz="12" w:space="0" w:color="auto"/>
            </w:tcBorders>
          </w:tcPr>
          <w:p w:rsidR="00AC7995" w:rsidRDefault="00AC7995" w:rsidP="00BC5C2B">
            <w:pPr>
              <w:spacing w:before="60" w:after="60"/>
              <w:rPr>
                <w:sz w:val="16"/>
                <w:szCs w:val="16"/>
              </w:rPr>
            </w:pPr>
            <w:r>
              <w:rPr>
                <w:sz w:val="16"/>
                <w:szCs w:val="16"/>
              </w:rPr>
              <w:t>Availability for alternative future uses</w:t>
            </w:r>
          </w:p>
        </w:tc>
      </w:tr>
    </w:tbl>
    <w:p w:rsidR="00AC7995" w:rsidRDefault="00AC7995" w:rsidP="00AC7995">
      <w:pPr>
        <w:rPr>
          <w:sz w:val="20"/>
          <w:szCs w:val="20"/>
        </w:rPr>
      </w:pPr>
    </w:p>
    <w:p w:rsidR="00AC7995" w:rsidRDefault="00AC7995" w:rsidP="00AC7995"/>
    <w:p w:rsidR="004C533A" w:rsidRPr="00EC1692" w:rsidRDefault="00EC1692" w:rsidP="00CF681C">
      <w:pPr>
        <w:spacing w:line="360" w:lineRule="auto"/>
        <w:jc w:val="left"/>
        <w:rPr>
          <w:b/>
        </w:rPr>
      </w:pPr>
      <w:r>
        <w:rPr>
          <w:b/>
        </w:rPr>
        <w:t xml:space="preserve">3.4 </w:t>
      </w:r>
      <w:r w:rsidR="004C533A" w:rsidRPr="00EC1692">
        <w:rPr>
          <w:b/>
        </w:rPr>
        <w:t>Quantifying the current level of benefit delivery</w:t>
      </w:r>
    </w:p>
    <w:p w:rsidR="004C533A" w:rsidRDefault="004C533A" w:rsidP="00CF681C">
      <w:pPr>
        <w:spacing w:line="360" w:lineRule="auto"/>
        <w:jc w:val="left"/>
      </w:pPr>
      <w:r>
        <w:t>A detailed evaluation of the individual benefits listed within the inventory is then required</w:t>
      </w:r>
      <w:r w:rsidR="00F052AC">
        <w:t>. T</w:t>
      </w:r>
      <w:r>
        <w:t>he first stage is to identify appropriate measures by which each benefit can be effectively quantified, and then to use these to determine the level at which the benefit is currently delivered</w:t>
      </w:r>
      <w:r w:rsidR="00267030">
        <w:t xml:space="preserve"> in order to establish a baseline against which the changes resulting from the proposed development can be compared</w:t>
      </w:r>
      <w:r w:rsidR="00DD19C6">
        <w:t xml:space="preserve">. </w:t>
      </w:r>
      <w:r w:rsidR="002F423C">
        <w:t xml:space="preserve">An Environmental Benefits Assessment is concerned primarily with the human perspective, and so much of this data must be obtained directly from </w:t>
      </w:r>
      <w:r w:rsidR="00267030">
        <w:t xml:space="preserve">observational data relating to </w:t>
      </w:r>
      <w:r w:rsidR="002F423C">
        <w:t xml:space="preserve">the beneficiaries.  </w:t>
      </w:r>
      <w:r>
        <w:t>It is likely that some data (fisheries and tourism statistics, for example) is already collected and held by statutory and other agencies</w:t>
      </w:r>
      <w:r w:rsidR="00DD19C6">
        <w:t xml:space="preserve">. </w:t>
      </w:r>
      <w:r>
        <w:t>Other data sources include grey literature and peer-reviewed articles.</w:t>
      </w:r>
    </w:p>
    <w:p w:rsidR="00140BAE" w:rsidRPr="00EC1692" w:rsidRDefault="00EC1692" w:rsidP="00CF681C">
      <w:pPr>
        <w:spacing w:line="360" w:lineRule="auto"/>
        <w:jc w:val="left"/>
        <w:rPr>
          <w:b/>
        </w:rPr>
      </w:pPr>
      <w:r>
        <w:rPr>
          <w:b/>
        </w:rPr>
        <w:lastRenderedPageBreak/>
        <w:t xml:space="preserve">3.5 </w:t>
      </w:r>
      <w:r w:rsidR="00140BAE" w:rsidRPr="00EC1692">
        <w:rPr>
          <w:b/>
        </w:rPr>
        <w:t>Evaluating the importance of the environmental benefits</w:t>
      </w:r>
    </w:p>
    <w:p w:rsidR="00140BAE" w:rsidRDefault="00DC4FBC" w:rsidP="00CF681C">
      <w:pPr>
        <w:spacing w:line="360" w:lineRule="auto"/>
        <w:jc w:val="left"/>
      </w:pPr>
      <w:r>
        <w:t>T</w:t>
      </w:r>
      <w:r w:rsidR="00140BAE">
        <w:t>he list of benefits provided by a particular ecosystem is likely to be extensive, and, in the absence of monetary values, the different benefits will be quantified using different metrics</w:t>
      </w:r>
      <w:r w:rsidR="00DD19C6">
        <w:t xml:space="preserve">. </w:t>
      </w:r>
      <w:r w:rsidR="00941B09" w:rsidRPr="00100676">
        <w:t>To aid preliminary evaluation, and help to inform how effort should be focused when quantifying the changes resulting from the proposed development, the importance of each benefit can be represented on an ordinal scale (high, moderate or low)</w:t>
      </w:r>
      <w:r w:rsidR="00DD19C6">
        <w:t xml:space="preserve">. </w:t>
      </w:r>
      <w:r w:rsidR="00140BAE">
        <w:t xml:space="preserve">Objective importance criteria are likely to be absent for many environmental benefits, so this qualitative assessment </w:t>
      </w:r>
      <w:r w:rsidR="00824428">
        <w:t>needs to</w:t>
      </w:r>
      <w:r w:rsidR="00140BAE">
        <w:t xml:space="preserve"> be based on discussions with stakeholders that consider factors such as the number of beneficiaries and degree of management concern</w:t>
      </w:r>
      <w:r w:rsidR="00DD19C6">
        <w:t xml:space="preserve">. </w:t>
      </w:r>
    </w:p>
    <w:p w:rsidR="002F423C" w:rsidRDefault="002F423C" w:rsidP="00CF681C">
      <w:pPr>
        <w:spacing w:line="360" w:lineRule="auto"/>
        <w:jc w:val="left"/>
      </w:pPr>
    </w:p>
    <w:p w:rsidR="0018487A" w:rsidRPr="00EC1692" w:rsidRDefault="00EC1692" w:rsidP="00CF681C">
      <w:pPr>
        <w:spacing w:line="360" w:lineRule="auto"/>
        <w:jc w:val="left"/>
        <w:rPr>
          <w:b/>
        </w:rPr>
      </w:pPr>
      <w:r>
        <w:rPr>
          <w:b/>
        </w:rPr>
        <w:t xml:space="preserve">3.6 </w:t>
      </w:r>
      <w:r w:rsidR="0018487A" w:rsidRPr="00EC1692">
        <w:rPr>
          <w:b/>
        </w:rPr>
        <w:t>Quantifying changes in benefit delivery as a result of the proposed development</w:t>
      </w:r>
    </w:p>
    <w:p w:rsidR="0018487A" w:rsidRDefault="002856FC" w:rsidP="00CF681C">
      <w:pPr>
        <w:spacing w:line="360" w:lineRule="auto"/>
        <w:jc w:val="left"/>
      </w:pPr>
      <w:r>
        <w:t xml:space="preserve">On the basis of </w:t>
      </w:r>
      <w:r w:rsidR="0018487A">
        <w:t>the</w:t>
      </w:r>
      <w:r w:rsidR="003C39B9">
        <w:t xml:space="preserve"> </w:t>
      </w:r>
      <w:r w:rsidR="003C39B9" w:rsidRPr="00325AF6">
        <w:t>inventory</w:t>
      </w:r>
      <w:r w:rsidR="003C39B9">
        <w:t xml:space="preserve"> </w:t>
      </w:r>
      <w:r>
        <w:t>of identified</w:t>
      </w:r>
      <w:r w:rsidR="003C39B9">
        <w:t xml:space="preserve"> and</w:t>
      </w:r>
      <w:r>
        <w:t xml:space="preserve"> prioritised </w:t>
      </w:r>
      <w:r w:rsidR="0018487A">
        <w:t>potential environmental impacts of the development</w:t>
      </w:r>
      <w:r w:rsidR="003C39B9">
        <w:t xml:space="preserve"> (</w:t>
      </w:r>
      <w:r w:rsidR="003C39B9" w:rsidRPr="00325AF6">
        <w:t>sections 3.3 to 3.5, above</w:t>
      </w:r>
      <w:r w:rsidR="003C39B9">
        <w:t>)</w:t>
      </w:r>
      <w:r w:rsidR="0018487A">
        <w:t>,  the expected change in</w:t>
      </w:r>
      <w:r>
        <w:t xml:space="preserve"> the level of</w:t>
      </w:r>
      <w:r w:rsidR="0018487A">
        <w:t xml:space="preserve"> each environmental benefit following the development</w:t>
      </w:r>
      <w:r>
        <w:t xml:space="preserve"> then needs to be quantified</w:t>
      </w:r>
      <w:r w:rsidR="00DD19C6">
        <w:t xml:space="preserve">. </w:t>
      </w:r>
      <w:r w:rsidR="0018487A">
        <w:t>Environmental impact information can be obtained from strategic and project-specific environmental impact assessments</w:t>
      </w:r>
      <w:r>
        <w:t xml:space="preserve"> published to date, as well as</w:t>
      </w:r>
      <w:r w:rsidR="0018487A">
        <w:t xml:space="preserve"> peer-reviewed and grey literature, and expert opinion</w:t>
      </w:r>
      <w:r w:rsidR="00DD19C6">
        <w:t xml:space="preserve">. </w:t>
      </w:r>
      <w:r w:rsidR="0052019B">
        <w:t>T</w:t>
      </w:r>
      <w:r w:rsidR="0018487A">
        <w:t>hese changes should be quantified, indicating the levels of uncertainty around the estimates</w:t>
      </w:r>
      <w:r w:rsidR="00DD19C6">
        <w:t xml:space="preserve">. </w:t>
      </w:r>
    </w:p>
    <w:p w:rsidR="00E63FC1" w:rsidRDefault="00E63FC1" w:rsidP="00CF681C">
      <w:pPr>
        <w:spacing w:line="360" w:lineRule="auto"/>
        <w:jc w:val="left"/>
      </w:pPr>
    </w:p>
    <w:p w:rsidR="00E9333C" w:rsidRDefault="0018487A" w:rsidP="00CF681C">
      <w:pPr>
        <w:spacing w:line="360" w:lineRule="auto"/>
        <w:jc w:val="left"/>
      </w:pPr>
      <w:r>
        <w:t>The current level of, and predicted changes to, each environmental benefit can be reported in the original measurement metric (such as weight of fish landed or number of participants)</w:t>
      </w:r>
      <w:r w:rsidR="00DD19C6">
        <w:t xml:space="preserve">. </w:t>
      </w:r>
      <w:r>
        <w:t>However, this will result in the change</w:t>
      </w:r>
      <w:r w:rsidR="00E9333C">
        <w:t>s</w:t>
      </w:r>
      <w:r>
        <w:t xml:space="preserve"> in benefit delivery being reported in a range of metrics</w:t>
      </w:r>
      <w:r w:rsidR="00DD19C6">
        <w:t xml:space="preserve">. </w:t>
      </w:r>
      <w:r>
        <w:t>Performing the additional step of monetary valuation standardise</w:t>
      </w:r>
      <w:r w:rsidR="002856FC">
        <w:t>s</w:t>
      </w:r>
      <w:r>
        <w:t xml:space="preserve"> the metric used, making more apparent the relative significance of impacts on the different benefits</w:t>
      </w:r>
      <w:r w:rsidR="007F5BAB">
        <w:t>.</w:t>
      </w:r>
      <w:r w:rsidR="00E9333C">
        <w:t xml:space="preserve">  </w:t>
      </w:r>
      <w:r w:rsidR="00E9333C">
        <w:rPr>
          <w:lang w:eastAsia="en-GB"/>
        </w:rPr>
        <w:t xml:space="preserve">Monetary valuation can provide additional insights, as it </w:t>
      </w:r>
      <w:r w:rsidR="00E9333C">
        <w:t xml:space="preserve">seeks to evaluate how a change </w:t>
      </w:r>
      <w:r w:rsidR="00E9333C" w:rsidRPr="00DB53FD">
        <w:t xml:space="preserve">in ecosystem service provision </w:t>
      </w:r>
      <w:r w:rsidR="00E9333C">
        <w:t>is traded off against other things people value (</w:t>
      </w:r>
      <w:r w:rsidR="00E9333C" w:rsidRPr="00DB53FD">
        <w:t>Turner et al</w:t>
      </w:r>
      <w:r w:rsidR="00E9333C">
        <w:t xml:space="preserve">., </w:t>
      </w:r>
      <w:r w:rsidR="00E9333C" w:rsidRPr="00DB53FD">
        <w:t>2003)</w:t>
      </w:r>
      <w:r w:rsidR="00E9333C">
        <w:t xml:space="preserve">.  Thus, it seeks to address the problem of </w:t>
      </w:r>
      <w:r w:rsidR="00E9333C" w:rsidRPr="00A27F74">
        <w:t xml:space="preserve">policy decisions </w:t>
      </w:r>
      <w:r w:rsidR="00E9333C">
        <w:t>continuing to overlook</w:t>
      </w:r>
      <w:r w:rsidR="00E9333C" w:rsidRPr="00A27F74">
        <w:t xml:space="preserve"> </w:t>
      </w:r>
      <w:r w:rsidR="00E9333C">
        <w:t xml:space="preserve">social and environmental externalities because </w:t>
      </w:r>
      <w:r w:rsidR="00E9333C" w:rsidRPr="00A27F74">
        <w:t xml:space="preserve">they </w:t>
      </w:r>
      <w:r w:rsidR="00E9333C">
        <w:t>a</w:t>
      </w:r>
      <w:r w:rsidR="00E9333C" w:rsidRPr="00A27F74">
        <w:t xml:space="preserve">re not </w:t>
      </w:r>
      <w:r w:rsidR="00E9333C">
        <w:t xml:space="preserve">readily </w:t>
      </w:r>
      <w:r w:rsidR="00E9333C" w:rsidRPr="00A27F74">
        <w:t xml:space="preserve">quantified in terms that permit their direct comparison with </w:t>
      </w:r>
      <w:r w:rsidR="00E9333C">
        <w:t xml:space="preserve">the exploitation of </w:t>
      </w:r>
      <w:r w:rsidR="00E9333C" w:rsidRPr="00A27F74">
        <w:t>manmade capital (</w:t>
      </w:r>
      <w:proofErr w:type="spellStart"/>
      <w:r w:rsidR="00E9333C" w:rsidRPr="00A27F74">
        <w:t>Costanza</w:t>
      </w:r>
      <w:proofErr w:type="spellEnd"/>
      <w:r w:rsidR="00E9333C" w:rsidRPr="00A27F74">
        <w:t xml:space="preserve"> </w:t>
      </w:r>
      <w:r w:rsidR="00E9333C">
        <w:t>et al.</w:t>
      </w:r>
      <w:r w:rsidR="00E9333C" w:rsidRPr="00A27F74">
        <w:t>, 1997</w:t>
      </w:r>
      <w:r w:rsidR="00E9333C">
        <w:t xml:space="preserve">; </w:t>
      </w:r>
      <w:proofErr w:type="spellStart"/>
      <w:r w:rsidR="00E9333C">
        <w:t>Barbier</w:t>
      </w:r>
      <w:proofErr w:type="spellEnd"/>
      <w:r w:rsidR="00E9333C">
        <w:t>, 2007</w:t>
      </w:r>
      <w:r w:rsidR="00E9333C" w:rsidRPr="00A27F74">
        <w:t>).</w:t>
      </w:r>
      <w:r w:rsidR="00E9333C">
        <w:t xml:space="preserve">  However, monetary valuation is not always desirable, as there is opposition to </w:t>
      </w:r>
      <w:r w:rsidR="00E9333C" w:rsidRPr="002B023C">
        <w:t xml:space="preserve">the entire underlying philosophy of placing a monetary value on a natural resource, and </w:t>
      </w:r>
      <w:r w:rsidR="00E9333C">
        <w:t>there are criticisms of</w:t>
      </w:r>
      <w:r w:rsidR="00E9333C" w:rsidRPr="002B023C">
        <w:t xml:space="preserve"> the techniques involved</w:t>
      </w:r>
      <w:r w:rsidR="00E9333C">
        <w:t xml:space="preserve"> in obtaining monetary values </w:t>
      </w:r>
      <w:r w:rsidR="00E9333C" w:rsidRPr="002B023C">
        <w:t>(</w:t>
      </w:r>
      <w:r w:rsidR="00E9333C">
        <w:t xml:space="preserve">see </w:t>
      </w:r>
      <w:r w:rsidR="00E9333C" w:rsidRPr="002B023C">
        <w:t xml:space="preserve">Ackermann </w:t>
      </w:r>
      <w:r w:rsidR="00E9333C">
        <w:t>and</w:t>
      </w:r>
      <w:r w:rsidR="00E9333C" w:rsidRPr="002B023C">
        <w:t xml:space="preserve"> </w:t>
      </w:r>
      <w:proofErr w:type="spellStart"/>
      <w:r w:rsidR="00E9333C" w:rsidRPr="002B023C">
        <w:t>Heinzerling</w:t>
      </w:r>
      <w:proofErr w:type="spellEnd"/>
      <w:r w:rsidR="00E9333C" w:rsidRPr="002B023C">
        <w:t>, 2004</w:t>
      </w:r>
      <w:r w:rsidR="00E9333C">
        <w:t>, for an overview</w:t>
      </w:r>
      <w:r w:rsidR="00E9333C" w:rsidRPr="002B023C">
        <w:t>).</w:t>
      </w:r>
      <w:r w:rsidR="00E9333C">
        <w:t xml:space="preserve">  Also,</w:t>
      </w:r>
      <w:r w:rsidR="00B32E45">
        <w:t xml:space="preserve"> monetary valuation is not always feasible due, for example, to scientific complexity and uncertainty, or to cognitive limitations (Turner et al., 2003).</w:t>
      </w:r>
    </w:p>
    <w:p w:rsidR="00B32E45" w:rsidRDefault="00B32E45" w:rsidP="00CF681C">
      <w:pPr>
        <w:spacing w:line="360" w:lineRule="auto"/>
        <w:jc w:val="left"/>
      </w:pPr>
    </w:p>
    <w:p w:rsidR="00B32E45" w:rsidRDefault="00B32E45" w:rsidP="00CF681C">
      <w:pPr>
        <w:spacing w:line="360" w:lineRule="auto"/>
        <w:jc w:val="left"/>
      </w:pPr>
      <w:r>
        <w:t>The EBA methodology does not require the monetary valuation of the environmental benefits, but its structure deliberately facilitates this additional step to support situations in which valuation is preferred as a decision tool.</w:t>
      </w:r>
    </w:p>
    <w:p w:rsidR="003C39B9" w:rsidRDefault="003C39B9" w:rsidP="00CF681C">
      <w:pPr>
        <w:spacing w:line="360" w:lineRule="auto"/>
        <w:jc w:val="left"/>
      </w:pPr>
    </w:p>
    <w:p w:rsidR="00AC7995" w:rsidRDefault="00AC7995" w:rsidP="00CF681C">
      <w:pPr>
        <w:spacing w:line="360" w:lineRule="auto"/>
        <w:jc w:val="left"/>
      </w:pPr>
    </w:p>
    <w:p w:rsidR="0055279F" w:rsidRPr="00F3005F" w:rsidRDefault="00F3005F" w:rsidP="00CF681C">
      <w:pPr>
        <w:spacing w:line="360" w:lineRule="auto"/>
        <w:jc w:val="left"/>
        <w:rPr>
          <w:b/>
        </w:rPr>
      </w:pPr>
      <w:r>
        <w:rPr>
          <w:b/>
        </w:rPr>
        <w:lastRenderedPageBreak/>
        <w:t xml:space="preserve">4. </w:t>
      </w:r>
      <w:r w:rsidR="00F052AC">
        <w:rPr>
          <w:b/>
        </w:rPr>
        <w:t xml:space="preserve">Applying </w:t>
      </w:r>
      <w:r w:rsidR="002F423C">
        <w:rPr>
          <w:b/>
        </w:rPr>
        <w:t xml:space="preserve">the </w:t>
      </w:r>
      <w:r w:rsidR="00F052AC">
        <w:rPr>
          <w:b/>
        </w:rPr>
        <w:t>EBA</w:t>
      </w:r>
      <w:r w:rsidR="002F423C">
        <w:rPr>
          <w:b/>
        </w:rPr>
        <w:t xml:space="preserve"> methodology</w:t>
      </w:r>
      <w:r w:rsidR="00F052AC">
        <w:rPr>
          <w:b/>
        </w:rPr>
        <w:t xml:space="preserve"> in a c</w:t>
      </w:r>
      <w:r w:rsidR="00F052AC" w:rsidRPr="00F3005F">
        <w:rPr>
          <w:b/>
        </w:rPr>
        <w:t xml:space="preserve">ase </w:t>
      </w:r>
      <w:r w:rsidR="00F052AC">
        <w:rPr>
          <w:b/>
        </w:rPr>
        <w:t>s</w:t>
      </w:r>
      <w:r w:rsidR="00F052AC" w:rsidRPr="00F3005F">
        <w:rPr>
          <w:b/>
        </w:rPr>
        <w:t>tudy</w:t>
      </w:r>
      <w:r w:rsidR="0018487A" w:rsidRPr="00F3005F">
        <w:rPr>
          <w:b/>
        </w:rPr>
        <w:t>: Tidal Power in t</w:t>
      </w:r>
      <w:r w:rsidR="0055279F" w:rsidRPr="00F3005F">
        <w:rPr>
          <w:b/>
        </w:rPr>
        <w:t>he Taw Torridge Estuary</w:t>
      </w:r>
    </w:p>
    <w:p w:rsidR="0018487A" w:rsidRPr="00EC1692" w:rsidRDefault="00EC1692" w:rsidP="00CF681C">
      <w:pPr>
        <w:spacing w:line="360" w:lineRule="auto"/>
        <w:jc w:val="left"/>
        <w:rPr>
          <w:b/>
        </w:rPr>
      </w:pPr>
      <w:r>
        <w:rPr>
          <w:b/>
        </w:rPr>
        <w:t xml:space="preserve">4.1 </w:t>
      </w:r>
      <w:r w:rsidR="0018487A" w:rsidRPr="00EC1692">
        <w:rPr>
          <w:b/>
        </w:rPr>
        <w:t>The Taw Torridge Estuary</w:t>
      </w:r>
    </w:p>
    <w:p w:rsidR="00A51863" w:rsidRDefault="0055279F" w:rsidP="00CF681C">
      <w:pPr>
        <w:spacing w:line="360" w:lineRule="auto"/>
        <w:jc w:val="left"/>
        <w:rPr>
          <w:szCs w:val="22"/>
        </w:rPr>
      </w:pPr>
      <w:r w:rsidRPr="00297140">
        <w:t>The Taw Torridge estuary is in North Devon</w:t>
      </w:r>
      <w:r w:rsidR="00FF28E3">
        <w:t xml:space="preserve"> in the south</w:t>
      </w:r>
      <w:r w:rsidR="00105297">
        <w:t xml:space="preserve"> </w:t>
      </w:r>
      <w:r w:rsidR="00FF28E3">
        <w:t>west of England</w:t>
      </w:r>
      <w:r w:rsidR="00DD19C6">
        <w:rPr>
          <w:szCs w:val="22"/>
        </w:rPr>
        <w:t xml:space="preserve">. </w:t>
      </w:r>
      <w:r w:rsidR="00A51863">
        <w:rPr>
          <w:szCs w:val="22"/>
        </w:rPr>
        <w:t xml:space="preserve">The recurrent pressure on the local authorities to consider a tidal </w:t>
      </w:r>
      <w:r w:rsidR="00A4698A">
        <w:rPr>
          <w:szCs w:val="22"/>
        </w:rPr>
        <w:t>range energy</w:t>
      </w:r>
      <w:r w:rsidR="00A51863">
        <w:rPr>
          <w:szCs w:val="22"/>
        </w:rPr>
        <w:t xml:space="preserve"> scheme was noted in the latest Estuary Management Plan </w:t>
      </w:r>
      <w:r w:rsidR="00A51863" w:rsidRPr="00B82266">
        <w:rPr>
          <w:szCs w:val="22"/>
        </w:rPr>
        <w:t>(Northern Devon Coast and Countryside Service</w:t>
      </w:r>
      <w:r w:rsidR="00A51863">
        <w:rPr>
          <w:szCs w:val="22"/>
        </w:rPr>
        <w:t xml:space="preserve">, </w:t>
      </w:r>
      <w:r w:rsidR="00A51863" w:rsidRPr="00B82266">
        <w:rPr>
          <w:szCs w:val="22"/>
        </w:rPr>
        <w:t xml:space="preserve"> 2010</w:t>
      </w:r>
      <w:r w:rsidR="00A51863">
        <w:rPr>
          <w:szCs w:val="22"/>
        </w:rPr>
        <w:t xml:space="preserve">), </w:t>
      </w:r>
      <w:r w:rsidR="007F5BAB">
        <w:rPr>
          <w:szCs w:val="22"/>
        </w:rPr>
        <w:t>but no detailed feasibility study has yet been undertaken</w:t>
      </w:r>
      <w:r w:rsidR="00DD19C6">
        <w:rPr>
          <w:szCs w:val="22"/>
        </w:rPr>
        <w:t>. This case study i</w:t>
      </w:r>
      <w:r w:rsidR="002F423C">
        <w:rPr>
          <w:szCs w:val="22"/>
        </w:rPr>
        <w:t xml:space="preserve">s based on </w:t>
      </w:r>
      <w:r w:rsidR="00590614">
        <w:rPr>
          <w:szCs w:val="22"/>
        </w:rPr>
        <w:t>the hypothetic</w:t>
      </w:r>
      <w:r w:rsidR="002F423C">
        <w:rPr>
          <w:szCs w:val="22"/>
        </w:rPr>
        <w:t>a</w:t>
      </w:r>
      <w:r w:rsidR="00590614">
        <w:rPr>
          <w:szCs w:val="22"/>
        </w:rPr>
        <w:t xml:space="preserve">l construction of a </w:t>
      </w:r>
      <w:r w:rsidR="00265032">
        <w:rPr>
          <w:szCs w:val="22"/>
        </w:rPr>
        <w:t xml:space="preserve">barrage </w:t>
      </w:r>
      <w:r w:rsidR="00A51863">
        <w:rPr>
          <w:szCs w:val="22"/>
        </w:rPr>
        <w:t>crossing the Taw at Crow Point just upstream of the confluence of the</w:t>
      </w:r>
      <w:r w:rsidR="00A4698A">
        <w:rPr>
          <w:szCs w:val="22"/>
        </w:rPr>
        <w:t xml:space="preserve"> two estuaries</w:t>
      </w:r>
      <w:r w:rsidR="00DD19C6">
        <w:rPr>
          <w:szCs w:val="22"/>
        </w:rPr>
        <w:t xml:space="preserve">. </w:t>
      </w:r>
      <w:r w:rsidR="00A51863">
        <w:rPr>
          <w:szCs w:val="22"/>
        </w:rPr>
        <w:t xml:space="preserve"> </w:t>
      </w:r>
    </w:p>
    <w:p w:rsidR="00AC7995" w:rsidRDefault="00AC7995" w:rsidP="00CF681C">
      <w:pPr>
        <w:spacing w:line="360" w:lineRule="auto"/>
        <w:jc w:val="left"/>
        <w:rPr>
          <w:szCs w:val="22"/>
        </w:rPr>
      </w:pPr>
    </w:p>
    <w:p w:rsidR="00AC7995" w:rsidRPr="00CA2A83" w:rsidRDefault="00AC7995" w:rsidP="00AC7995">
      <w:pPr>
        <w:spacing w:line="360" w:lineRule="auto"/>
        <w:jc w:val="left"/>
        <w:rPr>
          <w:b/>
        </w:rPr>
      </w:pPr>
      <w:r>
        <w:rPr>
          <w:b/>
        </w:rPr>
        <w:t xml:space="preserve">4.2 </w:t>
      </w:r>
      <w:r w:rsidRPr="00CA2A83">
        <w:rPr>
          <w:b/>
        </w:rPr>
        <w:t>Empirical Environmental Benefits Assessment</w:t>
      </w:r>
    </w:p>
    <w:p w:rsidR="00AC7995" w:rsidRPr="00CA2A83" w:rsidRDefault="00AC7995" w:rsidP="00AC7995">
      <w:pPr>
        <w:spacing w:line="360" w:lineRule="auto"/>
        <w:jc w:val="left"/>
        <w:rPr>
          <w:i/>
        </w:rPr>
      </w:pPr>
      <w:r w:rsidRPr="00CA2A83">
        <w:rPr>
          <w:i/>
        </w:rPr>
        <w:t>4.2.1 Site characterisation and identification of stakeholders</w:t>
      </w:r>
    </w:p>
    <w:p w:rsidR="00AC7995" w:rsidRDefault="00AC7995" w:rsidP="004425C9">
      <w:pPr>
        <w:spacing w:after="240" w:line="360" w:lineRule="auto"/>
        <w:jc w:val="left"/>
        <w:rPr>
          <w:szCs w:val="22"/>
          <w:lang w:eastAsia="en-GB"/>
        </w:rPr>
      </w:pPr>
      <w:r w:rsidRPr="00297140">
        <w:t>An important group of stakeholders and beneficiaries are those people living in the closest proximity to the Taw Torridge estuary system</w:t>
      </w:r>
      <w:r>
        <w:t xml:space="preserve">, which </w:t>
      </w:r>
      <w:r w:rsidRPr="00297140">
        <w:t xml:space="preserve">was </w:t>
      </w:r>
      <w:r>
        <w:t>defined</w:t>
      </w:r>
      <w:r w:rsidRPr="00297140">
        <w:t xml:space="preserve"> </w:t>
      </w:r>
      <w:r>
        <w:t xml:space="preserve">as the area within about 20km of the confluence of the rivers to include the tidal limits of both rivers and the main population centres of the area. The area is rural and economically deprived, and the local population is predominantly white and older than the national and regional average (Table 2). Individual stakeholders consulted included: </w:t>
      </w:r>
      <w:r>
        <w:rPr>
          <w:szCs w:val="22"/>
          <w:lang w:eastAsia="en-GB"/>
        </w:rPr>
        <w:t xml:space="preserve">councils and statutory agencies, </w:t>
      </w:r>
      <w:proofErr w:type="spellStart"/>
      <w:r>
        <w:rPr>
          <w:szCs w:val="22"/>
          <w:lang w:eastAsia="en-GB"/>
        </w:rPr>
        <w:t>watersports</w:t>
      </w:r>
      <w:proofErr w:type="spellEnd"/>
      <w:r>
        <w:rPr>
          <w:szCs w:val="22"/>
          <w:lang w:eastAsia="en-GB"/>
        </w:rPr>
        <w:t xml:space="preserve"> clubs, tourism, arts organisations, fishermen and fisher associations, conservation organisations, utility companies, the harbour master, a large shipyard, the Royal Marines, and a local business forum.</w:t>
      </w:r>
    </w:p>
    <w:p w:rsidR="00AC7995" w:rsidRDefault="00AC7995" w:rsidP="00AC7995">
      <w:pPr>
        <w:pStyle w:val="Caption"/>
        <w:jc w:val="center"/>
      </w:pPr>
      <w:bookmarkStart w:id="2" w:name="_Ref347424202"/>
      <w:r>
        <w:t xml:space="preserve">Table </w:t>
      </w:r>
      <w:bookmarkEnd w:id="2"/>
      <w:r>
        <w:t xml:space="preserve">2. </w:t>
      </w:r>
      <w:r>
        <w:rPr>
          <w:b w:val="0"/>
        </w:rPr>
        <w:t>Selected demographic and environmental characteristics of the area within 20km of the Taw Torridge estuary</w:t>
      </w:r>
    </w:p>
    <w:tbl>
      <w:tblPr>
        <w:tblStyle w:val="TableGrid"/>
        <w:tblW w:w="10065" w:type="dxa"/>
        <w:tblInd w:w="-459" w:type="dxa"/>
        <w:tblLook w:val="04A0" w:firstRow="1" w:lastRow="0" w:firstColumn="1" w:lastColumn="0" w:noHBand="0" w:noVBand="1"/>
      </w:tblPr>
      <w:tblGrid>
        <w:gridCol w:w="1336"/>
        <w:gridCol w:w="6886"/>
        <w:gridCol w:w="1843"/>
      </w:tblGrid>
      <w:tr w:rsidR="004425C9" w:rsidRPr="00AC7995" w:rsidTr="004425C9">
        <w:tc>
          <w:tcPr>
            <w:tcW w:w="1336" w:type="dxa"/>
            <w:tcBorders>
              <w:top w:val="single" w:sz="12" w:space="0" w:color="auto"/>
              <w:left w:val="single" w:sz="12" w:space="0" w:color="auto"/>
              <w:bottom w:val="single" w:sz="12" w:space="0" w:color="auto"/>
              <w:right w:val="single" w:sz="4" w:space="0" w:color="000000"/>
            </w:tcBorders>
            <w:vAlign w:val="center"/>
            <w:hideMark/>
          </w:tcPr>
          <w:p w:rsidR="00AC7995" w:rsidRPr="00AC7995" w:rsidRDefault="00AC7995" w:rsidP="00BC5C2B">
            <w:pPr>
              <w:spacing w:before="60" w:after="60"/>
              <w:jc w:val="left"/>
              <w:rPr>
                <w:b/>
                <w:sz w:val="18"/>
                <w:szCs w:val="18"/>
                <w:lang w:eastAsia="en-GB"/>
              </w:rPr>
            </w:pPr>
            <w:r w:rsidRPr="00AC7995">
              <w:rPr>
                <w:b/>
                <w:sz w:val="18"/>
                <w:szCs w:val="18"/>
                <w:lang w:eastAsia="en-GB"/>
              </w:rPr>
              <w:t>Characteristic</w:t>
            </w:r>
          </w:p>
        </w:tc>
        <w:tc>
          <w:tcPr>
            <w:tcW w:w="6886" w:type="dxa"/>
            <w:tcBorders>
              <w:top w:val="single" w:sz="12" w:space="0" w:color="auto"/>
              <w:left w:val="single" w:sz="4" w:space="0" w:color="000000"/>
              <w:bottom w:val="single" w:sz="12" w:space="0" w:color="auto"/>
              <w:right w:val="single" w:sz="4" w:space="0" w:color="000000"/>
            </w:tcBorders>
            <w:vAlign w:val="center"/>
            <w:hideMark/>
          </w:tcPr>
          <w:p w:rsidR="00AC7995" w:rsidRPr="00AC7995" w:rsidRDefault="00AC7995" w:rsidP="00BC5C2B">
            <w:pPr>
              <w:spacing w:before="60" w:after="60"/>
              <w:jc w:val="left"/>
              <w:rPr>
                <w:b/>
                <w:sz w:val="18"/>
                <w:szCs w:val="18"/>
                <w:lang w:eastAsia="en-GB"/>
              </w:rPr>
            </w:pPr>
            <w:r w:rsidRPr="00AC7995">
              <w:rPr>
                <w:b/>
                <w:sz w:val="18"/>
                <w:szCs w:val="18"/>
                <w:lang w:eastAsia="en-GB"/>
              </w:rPr>
              <w:t>Measure</w:t>
            </w:r>
          </w:p>
        </w:tc>
        <w:tc>
          <w:tcPr>
            <w:tcW w:w="1843" w:type="dxa"/>
            <w:tcBorders>
              <w:top w:val="single" w:sz="12" w:space="0" w:color="auto"/>
              <w:left w:val="single" w:sz="4" w:space="0" w:color="000000"/>
              <w:bottom w:val="single" w:sz="12" w:space="0" w:color="auto"/>
              <w:right w:val="single" w:sz="12" w:space="0" w:color="auto"/>
            </w:tcBorders>
            <w:vAlign w:val="center"/>
            <w:hideMark/>
          </w:tcPr>
          <w:p w:rsidR="00AC7995" w:rsidRPr="00AC7995" w:rsidRDefault="00AC7995" w:rsidP="00BC5C2B">
            <w:pPr>
              <w:spacing w:before="60" w:after="60"/>
              <w:jc w:val="left"/>
              <w:rPr>
                <w:b/>
                <w:sz w:val="18"/>
                <w:szCs w:val="18"/>
                <w:lang w:eastAsia="en-GB"/>
              </w:rPr>
            </w:pPr>
            <w:r w:rsidRPr="00AC7995">
              <w:rPr>
                <w:b/>
                <w:sz w:val="18"/>
                <w:szCs w:val="18"/>
                <w:lang w:eastAsia="en-GB"/>
              </w:rPr>
              <w:t>References</w:t>
            </w:r>
          </w:p>
        </w:tc>
      </w:tr>
      <w:tr w:rsidR="004425C9" w:rsidRPr="00AC7995" w:rsidTr="004425C9">
        <w:trPr>
          <w:trHeight w:val="397"/>
        </w:trPr>
        <w:tc>
          <w:tcPr>
            <w:tcW w:w="1336" w:type="dxa"/>
            <w:tcBorders>
              <w:top w:val="single" w:sz="12" w:space="0" w:color="auto"/>
              <w:left w:val="single" w:sz="12" w:space="0" w:color="auto"/>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Population size</w:t>
            </w:r>
          </w:p>
        </w:tc>
        <w:tc>
          <w:tcPr>
            <w:tcW w:w="6886" w:type="dxa"/>
            <w:tcBorders>
              <w:top w:val="single" w:sz="12" w:space="0" w:color="auto"/>
              <w:left w:val="single" w:sz="4" w:space="0" w:color="000000"/>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100,000 people</w:t>
            </w:r>
          </w:p>
        </w:tc>
        <w:tc>
          <w:tcPr>
            <w:tcW w:w="1843" w:type="dxa"/>
            <w:tcBorders>
              <w:top w:val="single" w:sz="12" w:space="0" w:color="auto"/>
              <w:left w:val="single" w:sz="4" w:space="0" w:color="000000"/>
              <w:bottom w:val="single" w:sz="4" w:space="0" w:color="000000"/>
              <w:right w:val="single" w:sz="12" w:space="0" w:color="auto"/>
            </w:tcBorders>
            <w:vAlign w:val="center"/>
            <w:hideMark/>
          </w:tcPr>
          <w:p w:rsidR="00AC7995" w:rsidRPr="004425C9" w:rsidRDefault="00AC7995" w:rsidP="004425C9">
            <w:pPr>
              <w:jc w:val="left"/>
              <w:rPr>
                <w:sz w:val="16"/>
                <w:szCs w:val="16"/>
                <w:lang w:eastAsia="en-GB"/>
              </w:rPr>
            </w:pPr>
            <w:r w:rsidRPr="004425C9">
              <w:rPr>
                <w:sz w:val="16"/>
                <w:szCs w:val="16"/>
                <w:lang w:eastAsia="en-GB"/>
              </w:rPr>
              <w:t>ONS, 2001</w:t>
            </w:r>
          </w:p>
        </w:tc>
      </w:tr>
      <w:tr w:rsidR="004425C9" w:rsidRPr="00AC7995" w:rsidTr="004425C9">
        <w:trPr>
          <w:trHeight w:val="510"/>
        </w:trPr>
        <w:tc>
          <w:tcPr>
            <w:tcW w:w="1336" w:type="dxa"/>
            <w:tcBorders>
              <w:top w:val="single" w:sz="4" w:space="0" w:color="000000"/>
              <w:left w:val="single" w:sz="12" w:space="0" w:color="auto"/>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Urbanisation</w:t>
            </w:r>
          </w:p>
        </w:tc>
        <w:tc>
          <w:tcPr>
            <w:tcW w:w="6886" w:type="dxa"/>
            <w:tcBorders>
              <w:top w:val="single" w:sz="4" w:space="0" w:color="000000"/>
              <w:left w:val="single" w:sz="4" w:space="0" w:color="000000"/>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Low compared to the national average, but locally high in the immediate proximity of the Taw Torridge</w:t>
            </w:r>
          </w:p>
        </w:tc>
        <w:tc>
          <w:tcPr>
            <w:tcW w:w="1843" w:type="dxa"/>
            <w:tcBorders>
              <w:top w:val="single" w:sz="4" w:space="0" w:color="000000"/>
              <w:left w:val="single" w:sz="4" w:space="0" w:color="000000"/>
              <w:bottom w:val="single" w:sz="4" w:space="0" w:color="000000"/>
              <w:right w:val="single" w:sz="12" w:space="0" w:color="auto"/>
            </w:tcBorders>
            <w:vAlign w:val="center"/>
            <w:hideMark/>
          </w:tcPr>
          <w:p w:rsidR="00AC7995" w:rsidRPr="004425C9" w:rsidRDefault="00AC7995" w:rsidP="004425C9">
            <w:pPr>
              <w:jc w:val="left"/>
              <w:rPr>
                <w:sz w:val="16"/>
                <w:szCs w:val="16"/>
                <w:lang w:eastAsia="en-GB"/>
              </w:rPr>
            </w:pPr>
            <w:r w:rsidRPr="004425C9">
              <w:rPr>
                <w:sz w:val="16"/>
                <w:szCs w:val="16"/>
                <w:lang w:eastAsia="en-GB"/>
              </w:rPr>
              <w:t>Environment Agency, 2008</w:t>
            </w:r>
          </w:p>
        </w:tc>
      </w:tr>
      <w:tr w:rsidR="004425C9" w:rsidRPr="00AC7995" w:rsidTr="004425C9">
        <w:trPr>
          <w:trHeight w:val="397"/>
        </w:trPr>
        <w:tc>
          <w:tcPr>
            <w:tcW w:w="1336" w:type="dxa"/>
            <w:tcBorders>
              <w:top w:val="single" w:sz="4" w:space="0" w:color="000000"/>
              <w:left w:val="single" w:sz="12" w:space="0" w:color="auto"/>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Ethnicity</w:t>
            </w:r>
          </w:p>
        </w:tc>
        <w:tc>
          <w:tcPr>
            <w:tcW w:w="6886" w:type="dxa"/>
            <w:tcBorders>
              <w:top w:val="single" w:sz="4" w:space="0" w:color="000000"/>
              <w:left w:val="single" w:sz="4" w:space="0" w:color="000000"/>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99% white</w:t>
            </w:r>
          </w:p>
        </w:tc>
        <w:tc>
          <w:tcPr>
            <w:tcW w:w="1843" w:type="dxa"/>
            <w:tcBorders>
              <w:top w:val="single" w:sz="4" w:space="0" w:color="000000"/>
              <w:left w:val="single" w:sz="4" w:space="0" w:color="000000"/>
              <w:bottom w:val="single" w:sz="4" w:space="0" w:color="000000"/>
              <w:right w:val="single" w:sz="12" w:space="0" w:color="auto"/>
            </w:tcBorders>
            <w:vAlign w:val="center"/>
            <w:hideMark/>
          </w:tcPr>
          <w:p w:rsidR="00AC7995" w:rsidRPr="004425C9" w:rsidRDefault="00AC7995" w:rsidP="004425C9">
            <w:pPr>
              <w:jc w:val="left"/>
              <w:rPr>
                <w:sz w:val="16"/>
                <w:szCs w:val="16"/>
                <w:lang w:eastAsia="en-GB"/>
              </w:rPr>
            </w:pPr>
            <w:r w:rsidRPr="004425C9">
              <w:rPr>
                <w:sz w:val="16"/>
                <w:szCs w:val="16"/>
                <w:lang w:eastAsia="en-GB"/>
              </w:rPr>
              <w:t>ONS, 2001</w:t>
            </w:r>
          </w:p>
        </w:tc>
      </w:tr>
      <w:tr w:rsidR="004425C9" w:rsidRPr="00AC7995" w:rsidTr="004425C9">
        <w:trPr>
          <w:trHeight w:val="510"/>
        </w:trPr>
        <w:tc>
          <w:tcPr>
            <w:tcW w:w="1336" w:type="dxa"/>
            <w:tcBorders>
              <w:top w:val="single" w:sz="4" w:space="0" w:color="000000"/>
              <w:left w:val="single" w:sz="12" w:space="0" w:color="auto"/>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Age structure</w:t>
            </w:r>
          </w:p>
        </w:tc>
        <w:tc>
          <w:tcPr>
            <w:tcW w:w="6886" w:type="dxa"/>
            <w:tcBorders>
              <w:top w:val="single" w:sz="4" w:space="0" w:color="000000"/>
              <w:left w:val="single" w:sz="4" w:space="0" w:color="000000"/>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 xml:space="preserve">Median age is 45.5, compared to 40.0 for the South West region and 37.0 for the national average  </w:t>
            </w:r>
          </w:p>
        </w:tc>
        <w:tc>
          <w:tcPr>
            <w:tcW w:w="1843" w:type="dxa"/>
            <w:tcBorders>
              <w:top w:val="single" w:sz="4" w:space="0" w:color="000000"/>
              <w:left w:val="single" w:sz="4" w:space="0" w:color="000000"/>
              <w:bottom w:val="single" w:sz="4" w:space="0" w:color="000000"/>
              <w:right w:val="single" w:sz="12" w:space="0" w:color="auto"/>
            </w:tcBorders>
            <w:vAlign w:val="center"/>
            <w:hideMark/>
          </w:tcPr>
          <w:p w:rsidR="00AC7995" w:rsidRPr="004425C9" w:rsidRDefault="00AC7995" w:rsidP="004425C9">
            <w:pPr>
              <w:jc w:val="left"/>
              <w:rPr>
                <w:sz w:val="16"/>
                <w:szCs w:val="16"/>
                <w:lang w:eastAsia="en-GB"/>
              </w:rPr>
            </w:pPr>
            <w:r w:rsidRPr="004425C9">
              <w:rPr>
                <w:sz w:val="16"/>
                <w:szCs w:val="16"/>
                <w:lang w:eastAsia="en-GB"/>
              </w:rPr>
              <w:t>ONS, 2001</w:t>
            </w:r>
          </w:p>
        </w:tc>
      </w:tr>
      <w:tr w:rsidR="004425C9" w:rsidRPr="00AC7995" w:rsidTr="004425C9">
        <w:tc>
          <w:tcPr>
            <w:tcW w:w="1336" w:type="dxa"/>
            <w:tcBorders>
              <w:top w:val="single" w:sz="4" w:space="0" w:color="000000"/>
              <w:left w:val="single" w:sz="12" w:space="0" w:color="auto"/>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Unemployment</w:t>
            </w:r>
          </w:p>
        </w:tc>
        <w:tc>
          <w:tcPr>
            <w:tcW w:w="6886" w:type="dxa"/>
            <w:tcBorders>
              <w:top w:val="single" w:sz="4" w:space="0" w:color="000000"/>
              <w:left w:val="single" w:sz="4" w:space="0" w:color="000000"/>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Unemployment rates are higher than regional and national averages</w:t>
            </w:r>
          </w:p>
        </w:tc>
        <w:tc>
          <w:tcPr>
            <w:tcW w:w="1843" w:type="dxa"/>
            <w:tcBorders>
              <w:top w:val="single" w:sz="4" w:space="0" w:color="000000"/>
              <w:left w:val="single" w:sz="4" w:space="0" w:color="000000"/>
              <w:bottom w:val="single" w:sz="4" w:space="0" w:color="000000"/>
              <w:right w:val="single" w:sz="12" w:space="0" w:color="auto"/>
            </w:tcBorders>
            <w:vAlign w:val="center"/>
            <w:hideMark/>
          </w:tcPr>
          <w:p w:rsidR="00AC7995" w:rsidRPr="004425C9" w:rsidRDefault="00AC7995" w:rsidP="004425C9">
            <w:pPr>
              <w:jc w:val="left"/>
              <w:rPr>
                <w:sz w:val="16"/>
                <w:szCs w:val="16"/>
                <w:lang w:eastAsia="en-GB"/>
              </w:rPr>
            </w:pPr>
            <w:r w:rsidRPr="004425C9">
              <w:rPr>
                <w:sz w:val="16"/>
                <w:szCs w:val="16"/>
                <w:lang w:eastAsia="en-GB"/>
              </w:rPr>
              <w:t>Devon County Council 2006a,b</w:t>
            </w:r>
          </w:p>
        </w:tc>
      </w:tr>
      <w:tr w:rsidR="004425C9" w:rsidRPr="00AC7995" w:rsidTr="004425C9">
        <w:trPr>
          <w:trHeight w:val="397"/>
        </w:trPr>
        <w:tc>
          <w:tcPr>
            <w:tcW w:w="1336" w:type="dxa"/>
            <w:tcBorders>
              <w:top w:val="single" w:sz="4" w:space="0" w:color="000000"/>
              <w:left w:val="single" w:sz="12" w:space="0" w:color="auto"/>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Earnings</w:t>
            </w:r>
          </w:p>
        </w:tc>
        <w:tc>
          <w:tcPr>
            <w:tcW w:w="6886" w:type="dxa"/>
            <w:tcBorders>
              <w:top w:val="single" w:sz="4" w:space="0" w:color="000000"/>
              <w:left w:val="single" w:sz="4" w:space="0" w:color="000000"/>
              <w:bottom w:val="single" w:sz="4" w:space="0" w:color="000000"/>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Wage rates are 21% lower than the national average</w:t>
            </w:r>
          </w:p>
        </w:tc>
        <w:tc>
          <w:tcPr>
            <w:tcW w:w="1843" w:type="dxa"/>
            <w:tcBorders>
              <w:top w:val="single" w:sz="4" w:space="0" w:color="000000"/>
              <w:left w:val="single" w:sz="4" w:space="0" w:color="000000"/>
              <w:bottom w:val="single" w:sz="4" w:space="0" w:color="000000"/>
              <w:right w:val="single" w:sz="12" w:space="0" w:color="auto"/>
            </w:tcBorders>
            <w:vAlign w:val="center"/>
            <w:hideMark/>
          </w:tcPr>
          <w:p w:rsidR="00AC7995" w:rsidRPr="004425C9" w:rsidRDefault="00AC7995" w:rsidP="004425C9">
            <w:pPr>
              <w:jc w:val="left"/>
              <w:rPr>
                <w:sz w:val="16"/>
                <w:szCs w:val="16"/>
                <w:lang w:eastAsia="en-GB"/>
              </w:rPr>
            </w:pPr>
            <w:proofErr w:type="spellStart"/>
            <w:r w:rsidRPr="004425C9">
              <w:rPr>
                <w:sz w:val="16"/>
                <w:szCs w:val="16"/>
                <w:lang w:eastAsia="en-GB"/>
              </w:rPr>
              <w:t>Nankivell</w:t>
            </w:r>
            <w:proofErr w:type="spellEnd"/>
            <w:r w:rsidRPr="004425C9">
              <w:rPr>
                <w:sz w:val="16"/>
                <w:szCs w:val="16"/>
                <w:lang w:eastAsia="en-GB"/>
              </w:rPr>
              <w:t>, 2010</w:t>
            </w:r>
          </w:p>
        </w:tc>
      </w:tr>
      <w:tr w:rsidR="004425C9" w:rsidRPr="00AC7995" w:rsidTr="004425C9">
        <w:tc>
          <w:tcPr>
            <w:tcW w:w="1336" w:type="dxa"/>
            <w:tcBorders>
              <w:top w:val="single" w:sz="4" w:space="0" w:color="000000"/>
              <w:left w:val="single" w:sz="12" w:space="0" w:color="auto"/>
              <w:bottom w:val="single" w:sz="4" w:space="0" w:color="auto"/>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Economic drivers</w:t>
            </w:r>
          </w:p>
        </w:tc>
        <w:tc>
          <w:tcPr>
            <w:tcW w:w="6886" w:type="dxa"/>
            <w:tcBorders>
              <w:top w:val="single" w:sz="4" w:space="0" w:color="000000"/>
              <w:left w:val="single" w:sz="4" w:space="0" w:color="000000"/>
              <w:bottom w:val="single" w:sz="4" w:space="0" w:color="auto"/>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A higher proportion of the population are employed in tourism, agriculture and fishing compared to regional and national averages. In absolute terms, the latter sectors are small, while tourism supports over 20,000 jobs, and was worth £375million in 2008.</w:t>
            </w:r>
          </w:p>
        </w:tc>
        <w:tc>
          <w:tcPr>
            <w:tcW w:w="1843" w:type="dxa"/>
            <w:tcBorders>
              <w:top w:val="single" w:sz="4" w:space="0" w:color="000000"/>
              <w:left w:val="single" w:sz="4" w:space="0" w:color="000000"/>
              <w:bottom w:val="single" w:sz="4" w:space="0" w:color="auto"/>
              <w:right w:val="single" w:sz="12" w:space="0" w:color="auto"/>
            </w:tcBorders>
            <w:vAlign w:val="center"/>
            <w:hideMark/>
          </w:tcPr>
          <w:p w:rsidR="00AC7995" w:rsidRPr="004425C9" w:rsidRDefault="00AC7995" w:rsidP="004425C9">
            <w:pPr>
              <w:jc w:val="left"/>
              <w:rPr>
                <w:sz w:val="16"/>
                <w:szCs w:val="16"/>
                <w:lang w:eastAsia="en-GB"/>
              </w:rPr>
            </w:pPr>
            <w:r w:rsidRPr="004425C9">
              <w:rPr>
                <w:sz w:val="16"/>
                <w:szCs w:val="16"/>
                <w:lang w:eastAsia="en-GB"/>
              </w:rPr>
              <w:t>ONS, 2001</w:t>
            </w:r>
            <w:r w:rsidR="004425C9" w:rsidRPr="004425C9">
              <w:rPr>
                <w:sz w:val="16"/>
                <w:szCs w:val="16"/>
                <w:lang w:eastAsia="en-GB"/>
              </w:rPr>
              <w:t xml:space="preserve">, </w:t>
            </w:r>
            <w:r w:rsidRPr="004425C9">
              <w:rPr>
                <w:sz w:val="16"/>
                <w:szCs w:val="16"/>
                <w:lang w:eastAsia="en-GB"/>
              </w:rPr>
              <w:t>Northern Devon Partnership, 2009</w:t>
            </w:r>
          </w:p>
          <w:p w:rsidR="00AC7995" w:rsidRPr="004425C9" w:rsidRDefault="00AC7995" w:rsidP="004425C9">
            <w:pPr>
              <w:jc w:val="left"/>
              <w:rPr>
                <w:sz w:val="16"/>
                <w:szCs w:val="16"/>
                <w:lang w:eastAsia="en-GB"/>
              </w:rPr>
            </w:pPr>
            <w:proofErr w:type="spellStart"/>
            <w:r w:rsidRPr="004425C9">
              <w:rPr>
                <w:sz w:val="16"/>
                <w:szCs w:val="16"/>
                <w:lang w:eastAsia="en-GB"/>
              </w:rPr>
              <w:t>Nankivell</w:t>
            </w:r>
            <w:proofErr w:type="spellEnd"/>
            <w:r w:rsidRPr="004425C9">
              <w:rPr>
                <w:sz w:val="16"/>
                <w:szCs w:val="16"/>
                <w:lang w:eastAsia="en-GB"/>
              </w:rPr>
              <w:t>, 2010</w:t>
            </w:r>
          </w:p>
        </w:tc>
      </w:tr>
      <w:tr w:rsidR="004425C9" w:rsidRPr="00AC7995" w:rsidTr="004425C9">
        <w:trPr>
          <w:trHeight w:val="510"/>
        </w:trPr>
        <w:tc>
          <w:tcPr>
            <w:tcW w:w="1336" w:type="dxa"/>
            <w:tcBorders>
              <w:top w:val="single" w:sz="4" w:space="0" w:color="auto"/>
              <w:left w:val="single" w:sz="12" w:space="0" w:color="auto"/>
              <w:bottom w:val="single" w:sz="4" w:space="0" w:color="auto"/>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Land use</w:t>
            </w:r>
          </w:p>
        </w:tc>
        <w:tc>
          <w:tcPr>
            <w:tcW w:w="6886" w:type="dxa"/>
            <w:tcBorders>
              <w:top w:val="single" w:sz="4" w:space="0" w:color="auto"/>
              <w:left w:val="single" w:sz="4" w:space="0" w:color="000000"/>
              <w:bottom w:val="single" w:sz="4" w:space="0" w:color="auto"/>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Predominantly grass and pasture, reflecting the widespread cattle and sheep farming</w:t>
            </w:r>
          </w:p>
        </w:tc>
        <w:tc>
          <w:tcPr>
            <w:tcW w:w="1843" w:type="dxa"/>
            <w:tcBorders>
              <w:top w:val="single" w:sz="4" w:space="0" w:color="auto"/>
              <w:left w:val="single" w:sz="4" w:space="0" w:color="000000"/>
              <w:bottom w:val="single" w:sz="4" w:space="0" w:color="auto"/>
              <w:right w:val="single" w:sz="12" w:space="0" w:color="auto"/>
            </w:tcBorders>
            <w:vAlign w:val="center"/>
            <w:hideMark/>
          </w:tcPr>
          <w:p w:rsidR="00AC7995" w:rsidRPr="004425C9" w:rsidRDefault="00AC7995" w:rsidP="004425C9">
            <w:pPr>
              <w:jc w:val="left"/>
              <w:rPr>
                <w:sz w:val="16"/>
                <w:szCs w:val="16"/>
                <w:lang w:eastAsia="en-GB"/>
              </w:rPr>
            </w:pPr>
            <w:r w:rsidRPr="004425C9">
              <w:rPr>
                <w:sz w:val="16"/>
                <w:szCs w:val="16"/>
                <w:lang w:eastAsia="en-GB"/>
              </w:rPr>
              <w:t>Environment Agency, 2008; DEFRA, 2007</w:t>
            </w:r>
          </w:p>
        </w:tc>
      </w:tr>
      <w:tr w:rsidR="004425C9" w:rsidRPr="00AC7995" w:rsidTr="004425C9">
        <w:tc>
          <w:tcPr>
            <w:tcW w:w="1336" w:type="dxa"/>
            <w:tcBorders>
              <w:top w:val="single" w:sz="4" w:space="0" w:color="auto"/>
              <w:left w:val="single" w:sz="12" w:space="0" w:color="auto"/>
              <w:bottom w:val="single" w:sz="12" w:space="0" w:color="auto"/>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Statutory environmental protection</w:t>
            </w:r>
          </w:p>
        </w:tc>
        <w:tc>
          <w:tcPr>
            <w:tcW w:w="6886" w:type="dxa"/>
            <w:tcBorders>
              <w:top w:val="single" w:sz="4" w:space="0" w:color="auto"/>
              <w:left w:val="single" w:sz="4" w:space="0" w:color="000000"/>
              <w:bottom w:val="single" w:sz="12" w:space="0" w:color="auto"/>
              <w:right w:val="single" w:sz="4" w:space="0" w:color="000000"/>
            </w:tcBorders>
            <w:vAlign w:val="center"/>
            <w:hideMark/>
          </w:tcPr>
          <w:p w:rsidR="00AC7995" w:rsidRPr="00AC7995" w:rsidRDefault="00AC7995" w:rsidP="004425C9">
            <w:pPr>
              <w:jc w:val="left"/>
              <w:rPr>
                <w:sz w:val="18"/>
                <w:szCs w:val="18"/>
                <w:lang w:eastAsia="en-GB"/>
              </w:rPr>
            </w:pPr>
            <w:r w:rsidRPr="00AC7995">
              <w:rPr>
                <w:sz w:val="18"/>
                <w:szCs w:val="18"/>
                <w:lang w:eastAsia="en-GB"/>
              </w:rPr>
              <w:t xml:space="preserve">Four Sites of Special Scientific Interest designated for bird and </w:t>
            </w:r>
            <w:proofErr w:type="spellStart"/>
            <w:r w:rsidRPr="00AC7995">
              <w:rPr>
                <w:sz w:val="18"/>
                <w:szCs w:val="18"/>
                <w:lang w:eastAsia="en-GB"/>
              </w:rPr>
              <w:t>plantlife</w:t>
            </w:r>
            <w:proofErr w:type="spellEnd"/>
            <w:r w:rsidRPr="00AC7995">
              <w:rPr>
                <w:sz w:val="18"/>
                <w:szCs w:val="18"/>
                <w:lang w:eastAsia="en-GB"/>
              </w:rPr>
              <w:t>, coastal habitats and geological landforms;  a Special Area of Conservation, a UNESCO Biosphere Reserve, and an Area of Outstanding Natural Beauty.</w:t>
            </w:r>
          </w:p>
        </w:tc>
        <w:tc>
          <w:tcPr>
            <w:tcW w:w="1843" w:type="dxa"/>
            <w:tcBorders>
              <w:top w:val="single" w:sz="4" w:space="0" w:color="auto"/>
              <w:left w:val="single" w:sz="4" w:space="0" w:color="000000"/>
              <w:bottom w:val="single" w:sz="12" w:space="0" w:color="auto"/>
              <w:right w:val="single" w:sz="12" w:space="0" w:color="auto"/>
            </w:tcBorders>
            <w:vAlign w:val="center"/>
            <w:hideMark/>
          </w:tcPr>
          <w:p w:rsidR="00AC7995" w:rsidRPr="004425C9" w:rsidRDefault="00AC7995" w:rsidP="004425C9">
            <w:pPr>
              <w:jc w:val="left"/>
              <w:rPr>
                <w:sz w:val="16"/>
                <w:szCs w:val="16"/>
                <w:lang w:eastAsia="en-GB"/>
              </w:rPr>
            </w:pPr>
            <w:r w:rsidRPr="004425C9">
              <w:rPr>
                <w:sz w:val="16"/>
                <w:szCs w:val="16"/>
                <w:lang w:eastAsia="en-GB"/>
              </w:rPr>
              <w:t>Natural England, 2001a, b; UNESCO, 2009; JNCC, 2002; North Devon AONB Partnership, 2009</w:t>
            </w:r>
          </w:p>
        </w:tc>
      </w:tr>
    </w:tbl>
    <w:p w:rsidR="00875956" w:rsidRPr="008B74BF" w:rsidRDefault="008B74BF" w:rsidP="004425C9">
      <w:pPr>
        <w:spacing w:before="300" w:line="360" w:lineRule="auto"/>
        <w:jc w:val="left"/>
        <w:rPr>
          <w:i/>
        </w:rPr>
      </w:pPr>
      <w:r>
        <w:rPr>
          <w:i/>
        </w:rPr>
        <w:t xml:space="preserve">4.2.2 </w:t>
      </w:r>
      <w:r w:rsidR="00AE5412">
        <w:rPr>
          <w:i/>
        </w:rPr>
        <w:t>Identifying relevant environmental benefits</w:t>
      </w:r>
      <w:r w:rsidR="00BB78CB">
        <w:rPr>
          <w:i/>
        </w:rPr>
        <w:t xml:space="preserve"> </w:t>
      </w:r>
    </w:p>
    <w:p w:rsidR="004425C9" w:rsidRDefault="003159AD" w:rsidP="00CF681C">
      <w:pPr>
        <w:spacing w:line="360" w:lineRule="auto"/>
        <w:jc w:val="left"/>
        <w:sectPr w:rsidR="004425C9" w:rsidSect="00223330">
          <w:footerReference w:type="default" r:id="rId9"/>
          <w:pgSz w:w="11906" w:h="16838"/>
          <w:pgMar w:top="1440" w:right="1440" w:bottom="1440" w:left="1440" w:header="709" w:footer="709" w:gutter="0"/>
          <w:pgNumType w:start="1"/>
          <w:cols w:space="708"/>
          <w:titlePg/>
          <w:docGrid w:linePitch="360"/>
        </w:sectPr>
      </w:pPr>
      <w:r>
        <w:t>The Taw Torridge provides a range of environmental benefits derived from provisioning, carrier, regulating and cultural services</w:t>
      </w:r>
      <w:r w:rsidR="00DD19C6">
        <w:t xml:space="preserve">. </w:t>
      </w:r>
      <w:r w:rsidR="00FB3D8F">
        <w:t>The inventory of benefits is provided</w:t>
      </w:r>
      <w:r w:rsidR="00E47CA7">
        <w:t xml:space="preserve"> in</w:t>
      </w:r>
      <w:r w:rsidR="00B45536">
        <w:t xml:space="preserve"> Table 3.</w:t>
      </w:r>
    </w:p>
    <w:p w:rsidR="004425C9" w:rsidRPr="00217FC4" w:rsidRDefault="004425C9" w:rsidP="004425C9">
      <w:pPr>
        <w:pStyle w:val="Caption"/>
        <w:jc w:val="center"/>
        <w:rPr>
          <w:b w:val="0"/>
          <w:sz w:val="20"/>
          <w:szCs w:val="20"/>
        </w:rPr>
      </w:pPr>
      <w:bookmarkStart w:id="3" w:name="_Ref347772116"/>
      <w:r>
        <w:lastRenderedPageBreak/>
        <w:t xml:space="preserve">Table </w:t>
      </w:r>
      <w:bookmarkEnd w:id="3"/>
      <w:r>
        <w:t>3.</w:t>
      </w:r>
      <w:r>
        <w:rPr>
          <w:b w:val="0"/>
        </w:rPr>
        <w:t xml:space="preserve"> A summary of the results of the Environmental Benefits Assessment, including confidence in the data presented and the potential scale of barrage impacts</w:t>
      </w:r>
    </w:p>
    <w:p w:rsidR="004425C9" w:rsidRPr="00864F79" w:rsidRDefault="004425C9" w:rsidP="004425C9">
      <w:pPr>
        <w:tabs>
          <w:tab w:val="left" w:pos="567"/>
        </w:tabs>
        <w:jc w:val="center"/>
        <w:rPr>
          <w:sz w:val="18"/>
          <w:szCs w:val="18"/>
        </w:rPr>
      </w:pPr>
      <w:r w:rsidRPr="00864F79">
        <w:rPr>
          <w:b/>
          <w:sz w:val="18"/>
          <w:szCs w:val="18"/>
        </w:rPr>
        <w:t xml:space="preserve">Level of importance </w:t>
      </w:r>
      <w:r w:rsidRPr="00864F79">
        <w:rPr>
          <w:sz w:val="18"/>
          <w:szCs w:val="18"/>
        </w:rPr>
        <w:t>(in terms of policy drivers and/or number of people affected)</w:t>
      </w:r>
      <w:r w:rsidRPr="00864F79">
        <w:rPr>
          <w:b/>
          <w:sz w:val="18"/>
          <w:szCs w:val="18"/>
        </w:rPr>
        <w:t xml:space="preserve">: </w:t>
      </w:r>
      <w:r w:rsidRPr="00864F79">
        <w:rPr>
          <w:sz w:val="18"/>
          <w:szCs w:val="18"/>
        </w:rPr>
        <w:t>*** high, ** moderate, * low</w:t>
      </w:r>
    </w:p>
    <w:p w:rsidR="004425C9" w:rsidRPr="00864F79" w:rsidRDefault="004425C9" w:rsidP="004425C9">
      <w:pPr>
        <w:tabs>
          <w:tab w:val="left" w:pos="567"/>
        </w:tabs>
        <w:jc w:val="center"/>
        <w:rPr>
          <w:sz w:val="18"/>
          <w:szCs w:val="18"/>
        </w:rPr>
      </w:pPr>
      <w:r w:rsidRPr="00864F79">
        <w:rPr>
          <w:b/>
          <w:sz w:val="18"/>
          <w:szCs w:val="18"/>
        </w:rPr>
        <w:t xml:space="preserve">Potential </w:t>
      </w:r>
      <w:r>
        <w:rPr>
          <w:b/>
          <w:sz w:val="18"/>
          <w:szCs w:val="18"/>
        </w:rPr>
        <w:t xml:space="preserve">welfare </w:t>
      </w:r>
      <w:r w:rsidRPr="00864F79">
        <w:rPr>
          <w:b/>
          <w:sz w:val="18"/>
          <w:szCs w:val="18"/>
        </w:rPr>
        <w:t xml:space="preserve">impacts </w:t>
      </w:r>
      <w:r w:rsidRPr="00864F79">
        <w:rPr>
          <w:i/>
          <w:sz w:val="18"/>
          <w:szCs w:val="18"/>
        </w:rPr>
        <w:t>Negative:</w:t>
      </w:r>
      <w:r w:rsidRPr="00864F79">
        <w:rPr>
          <w:b/>
          <w:sz w:val="18"/>
          <w:szCs w:val="18"/>
        </w:rPr>
        <w:t xml:space="preserve"> </w:t>
      </w:r>
      <w:r w:rsidRPr="00864F79">
        <w:rPr>
          <w:sz w:val="18"/>
          <w:szCs w:val="18"/>
        </w:rPr>
        <w:t xml:space="preserve">–  –  – high, –  – moderate,  –  slight; </w:t>
      </w:r>
      <w:r w:rsidRPr="00864F79">
        <w:rPr>
          <w:i/>
          <w:sz w:val="18"/>
          <w:szCs w:val="18"/>
        </w:rPr>
        <w:t xml:space="preserve">No impact: </w:t>
      </w:r>
      <w:r w:rsidRPr="00864F79">
        <w:rPr>
          <w:sz w:val="18"/>
          <w:szCs w:val="18"/>
        </w:rPr>
        <w:t xml:space="preserve">0; </w:t>
      </w:r>
      <w:r w:rsidRPr="00864F79">
        <w:rPr>
          <w:i/>
          <w:sz w:val="18"/>
          <w:szCs w:val="18"/>
        </w:rPr>
        <w:t>Positive:</w:t>
      </w:r>
      <w:r w:rsidRPr="00864F79">
        <w:rPr>
          <w:sz w:val="18"/>
          <w:szCs w:val="18"/>
        </w:rPr>
        <w:t xml:space="preserve"> +  slight, + + moderate  + + + high</w:t>
      </w:r>
    </w:p>
    <w:p w:rsidR="004425C9" w:rsidRDefault="004425C9" w:rsidP="004425C9">
      <w:pPr>
        <w:tabs>
          <w:tab w:val="left" w:pos="567"/>
        </w:tabs>
        <w:jc w:val="center"/>
        <w:rPr>
          <w:sz w:val="20"/>
          <w:szCs w:val="20"/>
        </w:rPr>
      </w:pPr>
    </w:p>
    <w:tbl>
      <w:tblPr>
        <w:tblW w:w="14201" w:type="dxa"/>
        <w:jc w:val="center"/>
        <w:tblLayout w:type="fixed"/>
        <w:tblLook w:val="04A0" w:firstRow="1" w:lastRow="0" w:firstColumn="1" w:lastColumn="0" w:noHBand="0" w:noVBand="1"/>
      </w:tblPr>
      <w:tblGrid>
        <w:gridCol w:w="1871"/>
        <w:gridCol w:w="1020"/>
        <w:gridCol w:w="3185"/>
        <w:gridCol w:w="3969"/>
        <w:gridCol w:w="1962"/>
        <w:gridCol w:w="1134"/>
        <w:gridCol w:w="1060"/>
      </w:tblGrid>
      <w:tr w:rsidR="004425C9" w:rsidRPr="000668CD" w:rsidTr="00BC5C2B">
        <w:trPr>
          <w:jc w:val="center"/>
        </w:trPr>
        <w:tc>
          <w:tcPr>
            <w:tcW w:w="1871" w:type="dxa"/>
            <w:tcBorders>
              <w:top w:val="single" w:sz="12" w:space="0" w:color="auto"/>
              <w:bottom w:val="single" w:sz="12" w:space="0" w:color="auto"/>
            </w:tcBorders>
            <w:vAlign w:val="center"/>
          </w:tcPr>
          <w:p w:rsidR="004425C9" w:rsidRPr="000668CD" w:rsidRDefault="004425C9" w:rsidP="00BC5C2B">
            <w:pPr>
              <w:spacing w:before="60" w:after="60"/>
              <w:jc w:val="left"/>
              <w:rPr>
                <w:b/>
                <w:sz w:val="16"/>
                <w:szCs w:val="16"/>
              </w:rPr>
            </w:pPr>
            <w:r>
              <w:rPr>
                <w:b/>
                <w:sz w:val="16"/>
                <w:szCs w:val="16"/>
              </w:rPr>
              <w:t xml:space="preserve">Environmental </w:t>
            </w:r>
            <w:r w:rsidRPr="000668CD">
              <w:rPr>
                <w:b/>
                <w:sz w:val="16"/>
                <w:szCs w:val="16"/>
              </w:rPr>
              <w:t>Benefit</w:t>
            </w:r>
          </w:p>
        </w:tc>
        <w:tc>
          <w:tcPr>
            <w:tcW w:w="1020" w:type="dxa"/>
            <w:tcBorders>
              <w:top w:val="single" w:sz="12" w:space="0" w:color="auto"/>
              <w:bottom w:val="single" w:sz="12" w:space="0" w:color="auto"/>
            </w:tcBorders>
            <w:vAlign w:val="center"/>
          </w:tcPr>
          <w:p w:rsidR="004425C9" w:rsidRPr="000668CD" w:rsidRDefault="004425C9" w:rsidP="00BC5C2B">
            <w:pPr>
              <w:spacing w:before="60" w:after="60"/>
              <w:jc w:val="left"/>
              <w:rPr>
                <w:b/>
                <w:sz w:val="16"/>
                <w:szCs w:val="16"/>
              </w:rPr>
            </w:pPr>
            <w:r w:rsidRPr="000668CD">
              <w:rPr>
                <w:b/>
                <w:sz w:val="16"/>
                <w:szCs w:val="16"/>
              </w:rPr>
              <w:t>Importance</w:t>
            </w:r>
          </w:p>
        </w:tc>
        <w:tc>
          <w:tcPr>
            <w:tcW w:w="3185" w:type="dxa"/>
            <w:tcBorders>
              <w:top w:val="single" w:sz="12" w:space="0" w:color="auto"/>
              <w:bottom w:val="single" w:sz="12" w:space="0" w:color="auto"/>
            </w:tcBorders>
            <w:vAlign w:val="center"/>
          </w:tcPr>
          <w:p w:rsidR="004425C9" w:rsidRDefault="004425C9" w:rsidP="00BC5C2B">
            <w:pPr>
              <w:spacing w:before="60" w:after="60"/>
              <w:jc w:val="left"/>
              <w:rPr>
                <w:b/>
                <w:sz w:val="16"/>
                <w:szCs w:val="16"/>
              </w:rPr>
            </w:pPr>
            <w:r>
              <w:rPr>
                <w:b/>
                <w:sz w:val="16"/>
                <w:szCs w:val="16"/>
              </w:rPr>
              <w:t xml:space="preserve">Measures </w:t>
            </w:r>
            <w:r>
              <w:rPr>
                <w:b/>
                <w:sz w:val="16"/>
                <w:szCs w:val="16"/>
              </w:rPr>
              <w:br/>
              <w:t>(types and units)</w:t>
            </w:r>
          </w:p>
        </w:tc>
        <w:tc>
          <w:tcPr>
            <w:tcW w:w="3969" w:type="dxa"/>
            <w:tcBorders>
              <w:top w:val="single" w:sz="12" w:space="0" w:color="auto"/>
              <w:bottom w:val="single" w:sz="12" w:space="0" w:color="auto"/>
            </w:tcBorders>
            <w:vAlign w:val="center"/>
          </w:tcPr>
          <w:p w:rsidR="004425C9" w:rsidRPr="000668CD" w:rsidRDefault="004425C9" w:rsidP="00BC5C2B">
            <w:pPr>
              <w:spacing w:before="60" w:after="60"/>
              <w:jc w:val="left"/>
              <w:rPr>
                <w:b/>
                <w:sz w:val="16"/>
                <w:szCs w:val="16"/>
              </w:rPr>
            </w:pPr>
            <w:r>
              <w:rPr>
                <w:b/>
                <w:sz w:val="16"/>
                <w:szCs w:val="16"/>
              </w:rPr>
              <w:t>Level of delivery in the Taw Torridge estuary</w:t>
            </w:r>
          </w:p>
        </w:tc>
        <w:tc>
          <w:tcPr>
            <w:tcW w:w="1962" w:type="dxa"/>
            <w:tcBorders>
              <w:top w:val="single" w:sz="12" w:space="0" w:color="auto"/>
              <w:bottom w:val="single" w:sz="12" w:space="0" w:color="auto"/>
            </w:tcBorders>
            <w:vAlign w:val="center"/>
          </w:tcPr>
          <w:p w:rsidR="004425C9" w:rsidRPr="00CE258D" w:rsidRDefault="004425C9" w:rsidP="00BC5C2B">
            <w:pPr>
              <w:spacing w:before="60" w:after="60"/>
              <w:jc w:val="left"/>
              <w:rPr>
                <w:b/>
                <w:sz w:val="16"/>
                <w:szCs w:val="16"/>
              </w:rPr>
            </w:pPr>
            <w:r w:rsidRPr="00CE258D">
              <w:rPr>
                <w:b/>
                <w:sz w:val="16"/>
                <w:szCs w:val="16"/>
              </w:rPr>
              <w:t>References</w:t>
            </w:r>
          </w:p>
        </w:tc>
        <w:tc>
          <w:tcPr>
            <w:tcW w:w="1134" w:type="dxa"/>
            <w:tcBorders>
              <w:top w:val="single" w:sz="12" w:space="0" w:color="auto"/>
              <w:bottom w:val="single" w:sz="12" w:space="0" w:color="auto"/>
            </w:tcBorders>
            <w:vAlign w:val="center"/>
          </w:tcPr>
          <w:p w:rsidR="004425C9" w:rsidRDefault="004425C9" w:rsidP="00BC5C2B">
            <w:pPr>
              <w:spacing w:before="60" w:after="60"/>
              <w:jc w:val="center"/>
              <w:rPr>
                <w:b/>
                <w:sz w:val="16"/>
                <w:szCs w:val="16"/>
              </w:rPr>
            </w:pPr>
            <w:r>
              <w:rPr>
                <w:b/>
                <w:sz w:val="16"/>
                <w:szCs w:val="16"/>
              </w:rPr>
              <w:t>Confidence assessment</w:t>
            </w:r>
          </w:p>
        </w:tc>
        <w:tc>
          <w:tcPr>
            <w:tcW w:w="1060" w:type="dxa"/>
            <w:tcBorders>
              <w:top w:val="single" w:sz="12" w:space="0" w:color="auto"/>
              <w:bottom w:val="single" w:sz="12" w:space="0" w:color="auto"/>
            </w:tcBorders>
            <w:vAlign w:val="center"/>
          </w:tcPr>
          <w:p w:rsidR="004425C9" w:rsidRPr="000668CD" w:rsidRDefault="004425C9" w:rsidP="00BC5C2B">
            <w:pPr>
              <w:spacing w:before="60" w:after="60"/>
              <w:jc w:val="center"/>
              <w:rPr>
                <w:b/>
                <w:sz w:val="16"/>
                <w:szCs w:val="16"/>
              </w:rPr>
            </w:pPr>
            <w:r>
              <w:rPr>
                <w:b/>
                <w:sz w:val="16"/>
                <w:szCs w:val="16"/>
              </w:rPr>
              <w:t>Potential i</w:t>
            </w:r>
            <w:r w:rsidRPr="000668CD">
              <w:rPr>
                <w:b/>
                <w:sz w:val="16"/>
                <w:szCs w:val="16"/>
              </w:rPr>
              <w:t>mpact</w:t>
            </w:r>
            <w:r>
              <w:rPr>
                <w:b/>
                <w:sz w:val="16"/>
                <w:szCs w:val="16"/>
              </w:rPr>
              <w:t xml:space="preserve"> of barrage</w:t>
            </w:r>
          </w:p>
        </w:tc>
      </w:tr>
      <w:tr w:rsidR="004425C9" w:rsidRPr="000668CD" w:rsidTr="00BC5C2B">
        <w:trPr>
          <w:trHeight w:val="283"/>
          <w:jc w:val="center"/>
        </w:trPr>
        <w:tc>
          <w:tcPr>
            <w:tcW w:w="6076" w:type="dxa"/>
            <w:gridSpan w:val="3"/>
            <w:tcBorders>
              <w:top w:val="single" w:sz="12" w:space="0" w:color="auto"/>
            </w:tcBorders>
            <w:shd w:val="clear" w:color="auto" w:fill="auto"/>
            <w:vAlign w:val="center"/>
          </w:tcPr>
          <w:p w:rsidR="004425C9" w:rsidRPr="000668CD" w:rsidRDefault="004425C9" w:rsidP="00BC5C2B">
            <w:pPr>
              <w:jc w:val="left"/>
              <w:rPr>
                <w:sz w:val="16"/>
                <w:szCs w:val="16"/>
              </w:rPr>
            </w:pPr>
            <w:r>
              <w:rPr>
                <w:b/>
                <w:i/>
                <w:sz w:val="16"/>
                <w:szCs w:val="16"/>
              </w:rPr>
              <w:t>A. Direct use (consumptive)</w:t>
            </w:r>
          </w:p>
        </w:tc>
        <w:tc>
          <w:tcPr>
            <w:tcW w:w="3969" w:type="dxa"/>
            <w:tcBorders>
              <w:top w:val="single" w:sz="12" w:space="0" w:color="auto"/>
            </w:tcBorders>
          </w:tcPr>
          <w:p w:rsidR="004425C9" w:rsidRPr="000668CD" w:rsidRDefault="004425C9" w:rsidP="00BC5C2B">
            <w:pPr>
              <w:jc w:val="center"/>
              <w:rPr>
                <w:sz w:val="16"/>
                <w:szCs w:val="16"/>
              </w:rPr>
            </w:pPr>
          </w:p>
        </w:tc>
        <w:tc>
          <w:tcPr>
            <w:tcW w:w="1962" w:type="dxa"/>
            <w:tcBorders>
              <w:top w:val="single" w:sz="12" w:space="0" w:color="auto"/>
            </w:tcBorders>
            <w:vAlign w:val="center"/>
          </w:tcPr>
          <w:p w:rsidR="004425C9" w:rsidRPr="00CE258D" w:rsidRDefault="004425C9" w:rsidP="00BC5C2B">
            <w:pPr>
              <w:jc w:val="left"/>
              <w:rPr>
                <w:sz w:val="16"/>
                <w:szCs w:val="16"/>
              </w:rPr>
            </w:pPr>
          </w:p>
        </w:tc>
        <w:tc>
          <w:tcPr>
            <w:tcW w:w="1134" w:type="dxa"/>
            <w:tcBorders>
              <w:top w:val="single" w:sz="12" w:space="0" w:color="auto"/>
            </w:tcBorders>
          </w:tcPr>
          <w:p w:rsidR="004425C9" w:rsidRPr="000668CD" w:rsidRDefault="004425C9" w:rsidP="00BC5C2B">
            <w:pPr>
              <w:jc w:val="center"/>
              <w:rPr>
                <w:sz w:val="16"/>
                <w:szCs w:val="16"/>
              </w:rPr>
            </w:pPr>
          </w:p>
        </w:tc>
        <w:tc>
          <w:tcPr>
            <w:tcW w:w="1060" w:type="dxa"/>
            <w:tcBorders>
              <w:top w:val="single" w:sz="12" w:space="0" w:color="auto"/>
            </w:tcBorders>
            <w:vAlign w:val="center"/>
          </w:tcPr>
          <w:p w:rsidR="004425C9" w:rsidRPr="000668CD" w:rsidRDefault="004425C9" w:rsidP="00BC5C2B">
            <w:pPr>
              <w:rPr>
                <w:sz w:val="16"/>
                <w:szCs w:val="16"/>
              </w:rPr>
            </w:pPr>
          </w:p>
        </w:tc>
      </w:tr>
      <w:tr w:rsidR="004425C9" w:rsidRPr="000668CD" w:rsidTr="00BC5C2B">
        <w:trPr>
          <w:trHeight w:val="227"/>
          <w:jc w:val="center"/>
        </w:trPr>
        <w:tc>
          <w:tcPr>
            <w:tcW w:w="1871" w:type="dxa"/>
            <w:shd w:val="clear" w:color="auto" w:fill="auto"/>
            <w:vAlign w:val="center"/>
          </w:tcPr>
          <w:p w:rsidR="004425C9" w:rsidRPr="00E91289" w:rsidRDefault="004425C9" w:rsidP="00BC5C2B">
            <w:pPr>
              <w:jc w:val="left"/>
              <w:rPr>
                <w:i/>
                <w:sz w:val="16"/>
                <w:szCs w:val="16"/>
              </w:rPr>
            </w:pPr>
            <w:r w:rsidRPr="00E91289">
              <w:rPr>
                <w:i/>
                <w:sz w:val="16"/>
                <w:szCs w:val="16"/>
              </w:rPr>
              <w:t>Food</w:t>
            </w:r>
          </w:p>
        </w:tc>
        <w:tc>
          <w:tcPr>
            <w:tcW w:w="1020" w:type="dxa"/>
            <w:vAlign w:val="center"/>
          </w:tcPr>
          <w:p w:rsidR="004425C9" w:rsidRPr="000668CD" w:rsidRDefault="004425C9" w:rsidP="00BC5C2B">
            <w:pPr>
              <w:jc w:val="center"/>
              <w:rPr>
                <w:sz w:val="16"/>
                <w:szCs w:val="16"/>
              </w:rPr>
            </w:pPr>
          </w:p>
        </w:tc>
        <w:tc>
          <w:tcPr>
            <w:tcW w:w="3185" w:type="dxa"/>
          </w:tcPr>
          <w:p w:rsidR="004425C9" w:rsidRPr="000668CD" w:rsidRDefault="004425C9" w:rsidP="00BC5C2B">
            <w:pPr>
              <w:jc w:val="left"/>
              <w:rPr>
                <w:sz w:val="16"/>
                <w:szCs w:val="16"/>
              </w:rPr>
            </w:pPr>
          </w:p>
        </w:tc>
        <w:tc>
          <w:tcPr>
            <w:tcW w:w="3969" w:type="dxa"/>
            <w:vAlign w:val="center"/>
          </w:tcPr>
          <w:p w:rsidR="004425C9" w:rsidRPr="000668CD" w:rsidRDefault="004425C9" w:rsidP="00BC5C2B">
            <w:pPr>
              <w:jc w:val="left"/>
              <w:rPr>
                <w:sz w:val="16"/>
                <w:szCs w:val="16"/>
              </w:rPr>
            </w:pPr>
          </w:p>
        </w:tc>
        <w:tc>
          <w:tcPr>
            <w:tcW w:w="1962" w:type="dxa"/>
            <w:vAlign w:val="center"/>
          </w:tcPr>
          <w:p w:rsidR="004425C9" w:rsidRPr="00CE258D" w:rsidRDefault="004425C9" w:rsidP="00BC5C2B">
            <w:pPr>
              <w:jc w:val="left"/>
              <w:rPr>
                <w:sz w:val="16"/>
                <w:szCs w:val="16"/>
              </w:rPr>
            </w:pPr>
          </w:p>
        </w:tc>
        <w:tc>
          <w:tcPr>
            <w:tcW w:w="1134" w:type="dxa"/>
          </w:tcPr>
          <w:p w:rsidR="004425C9" w:rsidRPr="000668CD" w:rsidRDefault="004425C9" w:rsidP="00BC5C2B">
            <w:pPr>
              <w:jc w:val="left"/>
              <w:rPr>
                <w:sz w:val="16"/>
                <w:szCs w:val="16"/>
              </w:rPr>
            </w:pPr>
          </w:p>
        </w:tc>
        <w:tc>
          <w:tcPr>
            <w:tcW w:w="1060" w:type="dxa"/>
            <w:vAlign w:val="center"/>
          </w:tcPr>
          <w:p w:rsidR="004425C9" w:rsidRPr="000668CD" w:rsidRDefault="004425C9" w:rsidP="00BC5C2B">
            <w:pPr>
              <w:jc w:val="center"/>
              <w:rPr>
                <w:sz w:val="16"/>
                <w:szCs w:val="16"/>
              </w:rPr>
            </w:pPr>
          </w:p>
        </w:tc>
      </w:tr>
      <w:tr w:rsidR="004425C9" w:rsidRPr="000668CD" w:rsidTr="00BC5C2B">
        <w:trPr>
          <w:trHeight w:val="283"/>
          <w:jc w:val="center"/>
        </w:trPr>
        <w:tc>
          <w:tcPr>
            <w:tcW w:w="1871" w:type="dxa"/>
            <w:shd w:val="clear" w:color="auto" w:fill="auto"/>
            <w:vAlign w:val="center"/>
          </w:tcPr>
          <w:p w:rsidR="004425C9" w:rsidRPr="000668CD" w:rsidRDefault="004425C9" w:rsidP="00BC5C2B">
            <w:pPr>
              <w:jc w:val="left"/>
              <w:rPr>
                <w:sz w:val="16"/>
                <w:szCs w:val="16"/>
              </w:rPr>
            </w:pPr>
            <w:r w:rsidRPr="000668CD">
              <w:rPr>
                <w:sz w:val="16"/>
                <w:szCs w:val="16"/>
              </w:rPr>
              <w:t>Shellfish</w:t>
            </w:r>
            <w:r>
              <w:rPr>
                <w:sz w:val="16"/>
                <w:szCs w:val="16"/>
              </w:rPr>
              <w:t xml:space="preserve"> – shore-based harvesting</w:t>
            </w:r>
          </w:p>
        </w:tc>
        <w:tc>
          <w:tcPr>
            <w:tcW w:w="1020" w:type="dxa"/>
            <w:vAlign w:val="center"/>
          </w:tcPr>
          <w:p w:rsidR="004425C9" w:rsidRPr="000668CD" w:rsidRDefault="004425C9" w:rsidP="00BC5C2B">
            <w:pPr>
              <w:jc w:val="center"/>
              <w:rPr>
                <w:sz w:val="16"/>
                <w:szCs w:val="16"/>
              </w:rPr>
            </w:pPr>
            <w:r w:rsidRPr="000668CD">
              <w:rPr>
                <w:sz w:val="16"/>
                <w:szCs w:val="16"/>
              </w:rPr>
              <w:t>*</w:t>
            </w:r>
          </w:p>
        </w:tc>
        <w:tc>
          <w:tcPr>
            <w:tcW w:w="3185" w:type="dxa"/>
            <w:vMerge w:val="restart"/>
            <w:vAlign w:val="center"/>
          </w:tcPr>
          <w:p w:rsidR="004425C9" w:rsidRDefault="004425C9" w:rsidP="00BC5C2B">
            <w:pPr>
              <w:jc w:val="left"/>
              <w:rPr>
                <w:sz w:val="16"/>
                <w:szCs w:val="16"/>
              </w:rPr>
            </w:pPr>
            <w:r>
              <w:rPr>
                <w:sz w:val="16"/>
                <w:szCs w:val="16"/>
              </w:rPr>
              <w:t>Landing/harvest statistics (kg/</w:t>
            </w:r>
            <w:proofErr w:type="spellStart"/>
            <w:r>
              <w:rPr>
                <w:sz w:val="16"/>
                <w:szCs w:val="16"/>
              </w:rPr>
              <w:t>yr</w:t>
            </w:r>
            <w:proofErr w:type="spellEnd"/>
            <w:r>
              <w:rPr>
                <w:sz w:val="16"/>
                <w:szCs w:val="16"/>
              </w:rPr>
              <w:t>)</w:t>
            </w:r>
          </w:p>
        </w:tc>
        <w:tc>
          <w:tcPr>
            <w:tcW w:w="3969" w:type="dxa"/>
            <w:vAlign w:val="center"/>
          </w:tcPr>
          <w:p w:rsidR="004425C9" w:rsidRDefault="004425C9" w:rsidP="00BC5C2B">
            <w:pPr>
              <w:jc w:val="left"/>
              <w:rPr>
                <w:sz w:val="16"/>
                <w:szCs w:val="16"/>
              </w:rPr>
            </w:pPr>
            <w:proofErr w:type="spellStart"/>
            <w:r>
              <w:rPr>
                <w:sz w:val="16"/>
                <w:szCs w:val="16"/>
              </w:rPr>
              <w:t>Approx</w:t>
            </w:r>
            <w:proofErr w:type="spellEnd"/>
            <w:r>
              <w:rPr>
                <w:sz w:val="16"/>
                <w:szCs w:val="16"/>
              </w:rPr>
              <w:t xml:space="preserve"> 180 tonnes of mussels per season</w:t>
            </w:r>
          </w:p>
        </w:tc>
        <w:tc>
          <w:tcPr>
            <w:tcW w:w="1962" w:type="dxa"/>
            <w:vAlign w:val="center"/>
          </w:tcPr>
          <w:p w:rsidR="004425C9" w:rsidRPr="00CE258D" w:rsidRDefault="004425C9" w:rsidP="00BC5C2B">
            <w:pPr>
              <w:jc w:val="left"/>
              <w:rPr>
                <w:sz w:val="16"/>
                <w:szCs w:val="16"/>
              </w:rPr>
            </w:pPr>
            <w:proofErr w:type="spellStart"/>
            <w:r w:rsidRPr="00CE258D">
              <w:rPr>
                <w:i/>
                <w:sz w:val="16"/>
                <w:szCs w:val="16"/>
              </w:rPr>
              <w:t>pers</w:t>
            </w:r>
            <w:proofErr w:type="spellEnd"/>
            <w:r w:rsidRPr="00CE258D">
              <w:rPr>
                <w:i/>
                <w:sz w:val="16"/>
                <w:szCs w:val="16"/>
              </w:rPr>
              <w:t xml:space="preserve"> comm.</w:t>
            </w:r>
            <w:r w:rsidRPr="00CE258D">
              <w:rPr>
                <w:sz w:val="16"/>
                <w:szCs w:val="16"/>
              </w:rPr>
              <w:t>(harvesters)</w:t>
            </w:r>
          </w:p>
        </w:tc>
        <w:tc>
          <w:tcPr>
            <w:tcW w:w="1134" w:type="dxa"/>
            <w:vAlign w:val="center"/>
          </w:tcPr>
          <w:p w:rsidR="004425C9" w:rsidRDefault="004425C9" w:rsidP="00BC5C2B">
            <w:pPr>
              <w:jc w:val="left"/>
              <w:rPr>
                <w:sz w:val="16"/>
                <w:szCs w:val="16"/>
              </w:rPr>
            </w:pPr>
            <w:r>
              <w:rPr>
                <w:sz w:val="16"/>
                <w:szCs w:val="16"/>
              </w:rPr>
              <w:t>Moderate</w:t>
            </w:r>
          </w:p>
        </w:tc>
        <w:tc>
          <w:tcPr>
            <w:tcW w:w="1060" w:type="dxa"/>
            <w:vAlign w:val="center"/>
          </w:tcPr>
          <w:p w:rsidR="004425C9" w:rsidRPr="000668CD" w:rsidRDefault="004425C9" w:rsidP="00BC5C2B">
            <w:pPr>
              <w:jc w:val="center"/>
              <w:rPr>
                <w:sz w:val="16"/>
                <w:szCs w:val="16"/>
              </w:rPr>
            </w:pPr>
            <w:r w:rsidRPr="000668CD">
              <w:rPr>
                <w:sz w:val="16"/>
                <w:szCs w:val="16"/>
              </w:rPr>
              <w:t>–  –  –</w:t>
            </w:r>
          </w:p>
        </w:tc>
      </w:tr>
      <w:tr w:rsidR="004425C9" w:rsidRPr="000668CD" w:rsidTr="00BC5C2B">
        <w:trPr>
          <w:trHeight w:val="283"/>
          <w:jc w:val="center"/>
        </w:trPr>
        <w:tc>
          <w:tcPr>
            <w:tcW w:w="1871" w:type="dxa"/>
            <w:shd w:val="clear" w:color="auto" w:fill="auto"/>
            <w:vAlign w:val="center"/>
          </w:tcPr>
          <w:p w:rsidR="004425C9" w:rsidRPr="000668CD" w:rsidRDefault="004425C9" w:rsidP="00BC5C2B">
            <w:pPr>
              <w:jc w:val="left"/>
              <w:rPr>
                <w:sz w:val="16"/>
                <w:szCs w:val="16"/>
              </w:rPr>
            </w:pPr>
            <w:r>
              <w:rPr>
                <w:sz w:val="16"/>
                <w:szCs w:val="16"/>
              </w:rPr>
              <w:t>Shellfish – subtidal</w:t>
            </w:r>
          </w:p>
        </w:tc>
        <w:tc>
          <w:tcPr>
            <w:tcW w:w="1020" w:type="dxa"/>
            <w:vAlign w:val="center"/>
          </w:tcPr>
          <w:p w:rsidR="004425C9" w:rsidRPr="000668CD" w:rsidRDefault="004425C9" w:rsidP="00BC5C2B">
            <w:pPr>
              <w:jc w:val="center"/>
              <w:rPr>
                <w:sz w:val="16"/>
                <w:szCs w:val="16"/>
              </w:rPr>
            </w:pPr>
            <w:r>
              <w:rPr>
                <w:sz w:val="16"/>
                <w:szCs w:val="16"/>
              </w:rPr>
              <w:t>**</w:t>
            </w:r>
          </w:p>
        </w:tc>
        <w:tc>
          <w:tcPr>
            <w:tcW w:w="3185" w:type="dxa"/>
            <w:vMerge/>
            <w:vAlign w:val="center"/>
          </w:tcPr>
          <w:p w:rsidR="004425C9" w:rsidRPr="000668CD" w:rsidRDefault="004425C9" w:rsidP="00BC5C2B">
            <w:pPr>
              <w:jc w:val="left"/>
              <w:rPr>
                <w:sz w:val="16"/>
                <w:szCs w:val="16"/>
              </w:rPr>
            </w:pPr>
          </w:p>
        </w:tc>
        <w:tc>
          <w:tcPr>
            <w:tcW w:w="3969" w:type="dxa"/>
            <w:vAlign w:val="center"/>
          </w:tcPr>
          <w:p w:rsidR="004425C9" w:rsidRDefault="004425C9" w:rsidP="00BC5C2B">
            <w:pPr>
              <w:jc w:val="left"/>
              <w:rPr>
                <w:sz w:val="16"/>
                <w:szCs w:val="16"/>
              </w:rPr>
            </w:pPr>
            <w:r>
              <w:rPr>
                <w:sz w:val="16"/>
                <w:szCs w:val="16"/>
              </w:rPr>
              <w:t>Unquantified. Little harvesting within the estuary, but important beyond the estuary mouth</w:t>
            </w:r>
          </w:p>
        </w:tc>
        <w:tc>
          <w:tcPr>
            <w:tcW w:w="1962" w:type="dxa"/>
            <w:vAlign w:val="center"/>
          </w:tcPr>
          <w:p w:rsidR="004425C9" w:rsidRPr="00CE258D" w:rsidRDefault="004425C9" w:rsidP="00BC5C2B">
            <w:pPr>
              <w:jc w:val="left"/>
              <w:rPr>
                <w:sz w:val="16"/>
                <w:szCs w:val="16"/>
              </w:rPr>
            </w:pPr>
          </w:p>
        </w:tc>
        <w:tc>
          <w:tcPr>
            <w:tcW w:w="1134" w:type="dxa"/>
            <w:vAlign w:val="center"/>
          </w:tcPr>
          <w:p w:rsidR="004425C9" w:rsidRDefault="004425C9" w:rsidP="00BC5C2B">
            <w:pPr>
              <w:jc w:val="left"/>
              <w:rPr>
                <w:sz w:val="16"/>
                <w:szCs w:val="16"/>
              </w:rPr>
            </w:pPr>
            <w:r>
              <w:rPr>
                <w:sz w:val="16"/>
                <w:szCs w:val="16"/>
              </w:rPr>
              <w:t>Poor</w:t>
            </w:r>
          </w:p>
        </w:tc>
        <w:tc>
          <w:tcPr>
            <w:tcW w:w="1060" w:type="dxa"/>
            <w:vAlign w:val="center"/>
          </w:tcPr>
          <w:p w:rsidR="004425C9" w:rsidRPr="000668CD" w:rsidRDefault="004425C9" w:rsidP="00BC5C2B">
            <w:pPr>
              <w:jc w:val="center"/>
              <w:rPr>
                <w:sz w:val="16"/>
                <w:szCs w:val="16"/>
              </w:rPr>
            </w:pPr>
            <w:r w:rsidRPr="000668CD">
              <w:rPr>
                <w:sz w:val="16"/>
                <w:szCs w:val="16"/>
              </w:rPr>
              <w:t>–</w:t>
            </w:r>
          </w:p>
        </w:tc>
      </w:tr>
      <w:tr w:rsidR="004425C9" w:rsidRPr="000668CD" w:rsidTr="00BC5C2B">
        <w:trPr>
          <w:trHeight w:val="283"/>
          <w:jc w:val="center"/>
        </w:trPr>
        <w:tc>
          <w:tcPr>
            <w:tcW w:w="1871" w:type="dxa"/>
            <w:shd w:val="clear" w:color="auto" w:fill="auto"/>
            <w:vAlign w:val="center"/>
          </w:tcPr>
          <w:p w:rsidR="004425C9" w:rsidRPr="00BE7529" w:rsidRDefault="004425C9" w:rsidP="00BC5C2B">
            <w:pPr>
              <w:jc w:val="left"/>
              <w:rPr>
                <w:sz w:val="16"/>
                <w:szCs w:val="16"/>
              </w:rPr>
            </w:pPr>
            <w:r w:rsidRPr="00BE7529">
              <w:rPr>
                <w:sz w:val="16"/>
                <w:szCs w:val="16"/>
              </w:rPr>
              <w:t>Eels</w:t>
            </w:r>
          </w:p>
        </w:tc>
        <w:tc>
          <w:tcPr>
            <w:tcW w:w="1020" w:type="dxa"/>
            <w:vAlign w:val="center"/>
          </w:tcPr>
          <w:p w:rsidR="004425C9" w:rsidRPr="000668CD" w:rsidRDefault="004425C9" w:rsidP="00BC5C2B">
            <w:pPr>
              <w:jc w:val="center"/>
              <w:rPr>
                <w:color w:val="000000"/>
                <w:sz w:val="16"/>
                <w:szCs w:val="16"/>
              </w:rPr>
            </w:pPr>
            <w:r>
              <w:rPr>
                <w:color w:val="000000"/>
                <w:sz w:val="16"/>
                <w:szCs w:val="16"/>
              </w:rPr>
              <w:t>*</w:t>
            </w:r>
          </w:p>
        </w:tc>
        <w:tc>
          <w:tcPr>
            <w:tcW w:w="3185" w:type="dxa"/>
            <w:vMerge/>
            <w:vAlign w:val="center"/>
          </w:tcPr>
          <w:p w:rsidR="004425C9" w:rsidRPr="000668CD" w:rsidRDefault="004425C9" w:rsidP="00BC5C2B">
            <w:pPr>
              <w:jc w:val="left"/>
              <w:rPr>
                <w:sz w:val="16"/>
                <w:szCs w:val="16"/>
              </w:rPr>
            </w:pPr>
          </w:p>
        </w:tc>
        <w:tc>
          <w:tcPr>
            <w:tcW w:w="3969" w:type="dxa"/>
            <w:vAlign w:val="center"/>
          </w:tcPr>
          <w:p w:rsidR="004425C9" w:rsidRDefault="004425C9" w:rsidP="00BC5C2B">
            <w:pPr>
              <w:jc w:val="left"/>
              <w:rPr>
                <w:sz w:val="16"/>
                <w:szCs w:val="16"/>
              </w:rPr>
            </w:pPr>
            <w:r>
              <w:rPr>
                <w:sz w:val="16"/>
                <w:szCs w:val="16"/>
              </w:rPr>
              <w:t xml:space="preserve">130-200kg of </w:t>
            </w:r>
            <w:proofErr w:type="spellStart"/>
            <w:r>
              <w:rPr>
                <w:sz w:val="16"/>
                <w:szCs w:val="16"/>
              </w:rPr>
              <w:t>elver</w:t>
            </w:r>
            <w:proofErr w:type="spellEnd"/>
            <w:r>
              <w:rPr>
                <w:sz w:val="16"/>
                <w:szCs w:val="16"/>
              </w:rPr>
              <w:t xml:space="preserve"> per year</w:t>
            </w:r>
          </w:p>
        </w:tc>
        <w:tc>
          <w:tcPr>
            <w:tcW w:w="1962" w:type="dxa"/>
            <w:vAlign w:val="center"/>
          </w:tcPr>
          <w:p w:rsidR="004425C9" w:rsidRPr="00CE258D" w:rsidRDefault="004425C9" w:rsidP="00BC5C2B">
            <w:pPr>
              <w:jc w:val="left"/>
              <w:rPr>
                <w:sz w:val="16"/>
                <w:szCs w:val="16"/>
              </w:rPr>
            </w:pPr>
            <w:r w:rsidRPr="00CE258D">
              <w:rPr>
                <w:sz w:val="16"/>
                <w:szCs w:val="16"/>
              </w:rPr>
              <w:t>DEFRA, 2010b</w:t>
            </w:r>
          </w:p>
        </w:tc>
        <w:tc>
          <w:tcPr>
            <w:tcW w:w="1134" w:type="dxa"/>
            <w:vAlign w:val="center"/>
          </w:tcPr>
          <w:p w:rsidR="004425C9" w:rsidRDefault="004425C9" w:rsidP="00BC5C2B">
            <w:pPr>
              <w:jc w:val="left"/>
              <w:rPr>
                <w:sz w:val="16"/>
                <w:szCs w:val="16"/>
              </w:rPr>
            </w:pPr>
            <w:r>
              <w:rPr>
                <w:sz w:val="16"/>
                <w:szCs w:val="16"/>
              </w:rPr>
              <w:t>Moderate</w:t>
            </w:r>
          </w:p>
        </w:tc>
        <w:tc>
          <w:tcPr>
            <w:tcW w:w="1060" w:type="dxa"/>
            <w:vAlign w:val="center"/>
          </w:tcPr>
          <w:p w:rsidR="004425C9" w:rsidRPr="000668CD" w:rsidRDefault="004425C9" w:rsidP="00BC5C2B">
            <w:pPr>
              <w:jc w:val="center"/>
              <w:rPr>
                <w:color w:val="000000"/>
                <w:sz w:val="16"/>
                <w:szCs w:val="16"/>
              </w:rPr>
            </w:pPr>
            <w:r w:rsidRPr="000668CD">
              <w:rPr>
                <w:sz w:val="16"/>
                <w:szCs w:val="16"/>
              </w:rPr>
              <w:t>–  –  –</w:t>
            </w:r>
          </w:p>
        </w:tc>
      </w:tr>
      <w:tr w:rsidR="004425C9" w:rsidRPr="000668CD" w:rsidTr="00BC5C2B">
        <w:trPr>
          <w:trHeight w:val="283"/>
          <w:jc w:val="center"/>
        </w:trPr>
        <w:tc>
          <w:tcPr>
            <w:tcW w:w="1871" w:type="dxa"/>
            <w:shd w:val="clear" w:color="auto" w:fill="auto"/>
            <w:vAlign w:val="center"/>
          </w:tcPr>
          <w:p w:rsidR="004425C9" w:rsidRPr="00BE7529" w:rsidRDefault="004425C9" w:rsidP="00BC5C2B">
            <w:pPr>
              <w:jc w:val="left"/>
              <w:rPr>
                <w:sz w:val="16"/>
                <w:szCs w:val="16"/>
              </w:rPr>
            </w:pPr>
            <w:r w:rsidRPr="00BE7529">
              <w:rPr>
                <w:sz w:val="16"/>
                <w:szCs w:val="16"/>
              </w:rPr>
              <w:t>Salmonids</w:t>
            </w:r>
          </w:p>
        </w:tc>
        <w:tc>
          <w:tcPr>
            <w:tcW w:w="1020" w:type="dxa"/>
            <w:vAlign w:val="center"/>
          </w:tcPr>
          <w:p w:rsidR="004425C9" w:rsidRPr="000668CD" w:rsidRDefault="004425C9" w:rsidP="00BC5C2B">
            <w:pPr>
              <w:jc w:val="center"/>
              <w:rPr>
                <w:sz w:val="16"/>
                <w:szCs w:val="16"/>
              </w:rPr>
            </w:pPr>
            <w:r>
              <w:rPr>
                <w:sz w:val="16"/>
                <w:szCs w:val="16"/>
              </w:rPr>
              <w:t>*</w:t>
            </w:r>
          </w:p>
        </w:tc>
        <w:tc>
          <w:tcPr>
            <w:tcW w:w="3185" w:type="dxa"/>
            <w:vMerge/>
            <w:vAlign w:val="center"/>
          </w:tcPr>
          <w:p w:rsidR="004425C9" w:rsidRPr="000668CD" w:rsidRDefault="004425C9" w:rsidP="00BC5C2B">
            <w:pPr>
              <w:jc w:val="left"/>
              <w:rPr>
                <w:sz w:val="16"/>
                <w:szCs w:val="16"/>
              </w:rPr>
            </w:pPr>
          </w:p>
        </w:tc>
        <w:tc>
          <w:tcPr>
            <w:tcW w:w="3969" w:type="dxa"/>
            <w:vAlign w:val="center"/>
          </w:tcPr>
          <w:p w:rsidR="004425C9" w:rsidRDefault="004425C9" w:rsidP="00BC5C2B">
            <w:pPr>
              <w:jc w:val="left"/>
              <w:rPr>
                <w:sz w:val="16"/>
                <w:szCs w:val="16"/>
              </w:rPr>
            </w:pPr>
            <w:r>
              <w:rPr>
                <w:sz w:val="16"/>
                <w:szCs w:val="16"/>
              </w:rPr>
              <w:t>423 salmon and 889 sea trout per year</w:t>
            </w:r>
          </w:p>
        </w:tc>
        <w:tc>
          <w:tcPr>
            <w:tcW w:w="1962" w:type="dxa"/>
            <w:vAlign w:val="center"/>
          </w:tcPr>
          <w:p w:rsidR="004425C9" w:rsidRPr="00CE258D" w:rsidRDefault="004425C9" w:rsidP="00BC5C2B">
            <w:pPr>
              <w:jc w:val="left"/>
              <w:rPr>
                <w:sz w:val="16"/>
                <w:szCs w:val="16"/>
              </w:rPr>
            </w:pPr>
            <w:r w:rsidRPr="00CE258D">
              <w:rPr>
                <w:sz w:val="16"/>
                <w:szCs w:val="16"/>
              </w:rPr>
              <w:t>Environment</w:t>
            </w:r>
            <w:r>
              <w:rPr>
                <w:sz w:val="16"/>
                <w:szCs w:val="16"/>
              </w:rPr>
              <w:t xml:space="preserve"> Agency, 2009b</w:t>
            </w:r>
          </w:p>
        </w:tc>
        <w:tc>
          <w:tcPr>
            <w:tcW w:w="1134" w:type="dxa"/>
            <w:vAlign w:val="center"/>
          </w:tcPr>
          <w:p w:rsidR="004425C9" w:rsidRDefault="004425C9" w:rsidP="00BC5C2B">
            <w:pPr>
              <w:jc w:val="left"/>
              <w:rPr>
                <w:sz w:val="16"/>
                <w:szCs w:val="16"/>
              </w:rPr>
            </w:pPr>
            <w:r>
              <w:rPr>
                <w:sz w:val="16"/>
                <w:szCs w:val="16"/>
              </w:rPr>
              <w:t>Moderate</w:t>
            </w:r>
          </w:p>
        </w:tc>
        <w:tc>
          <w:tcPr>
            <w:tcW w:w="1060" w:type="dxa"/>
            <w:vAlign w:val="center"/>
          </w:tcPr>
          <w:p w:rsidR="004425C9" w:rsidRPr="000668CD" w:rsidRDefault="004425C9" w:rsidP="00BC5C2B">
            <w:pPr>
              <w:jc w:val="center"/>
              <w:rPr>
                <w:color w:val="000000"/>
                <w:sz w:val="16"/>
                <w:szCs w:val="16"/>
              </w:rPr>
            </w:pPr>
            <w:r w:rsidRPr="000668CD">
              <w:rPr>
                <w:sz w:val="16"/>
                <w:szCs w:val="16"/>
              </w:rPr>
              <w:t>–  –  –</w:t>
            </w:r>
          </w:p>
        </w:tc>
      </w:tr>
      <w:tr w:rsidR="004425C9" w:rsidRPr="000668CD" w:rsidTr="00BC5C2B">
        <w:trPr>
          <w:trHeight w:val="283"/>
          <w:jc w:val="center"/>
        </w:trPr>
        <w:tc>
          <w:tcPr>
            <w:tcW w:w="1871" w:type="dxa"/>
            <w:shd w:val="clear" w:color="auto" w:fill="auto"/>
            <w:vAlign w:val="center"/>
          </w:tcPr>
          <w:p w:rsidR="004425C9" w:rsidRPr="00BE7529" w:rsidRDefault="004425C9" w:rsidP="00BC5C2B">
            <w:pPr>
              <w:jc w:val="left"/>
              <w:rPr>
                <w:sz w:val="16"/>
                <w:szCs w:val="16"/>
              </w:rPr>
            </w:pPr>
            <w:r w:rsidRPr="00BE7529">
              <w:rPr>
                <w:sz w:val="16"/>
                <w:szCs w:val="16"/>
              </w:rPr>
              <w:t>Marine fish</w:t>
            </w:r>
          </w:p>
        </w:tc>
        <w:tc>
          <w:tcPr>
            <w:tcW w:w="1020" w:type="dxa"/>
            <w:vAlign w:val="center"/>
          </w:tcPr>
          <w:p w:rsidR="004425C9" w:rsidRPr="000668CD" w:rsidRDefault="004425C9" w:rsidP="00BC5C2B">
            <w:pPr>
              <w:jc w:val="center"/>
              <w:rPr>
                <w:color w:val="000000"/>
                <w:sz w:val="16"/>
                <w:szCs w:val="16"/>
              </w:rPr>
            </w:pPr>
            <w:r>
              <w:rPr>
                <w:color w:val="000000"/>
                <w:sz w:val="16"/>
                <w:szCs w:val="16"/>
              </w:rPr>
              <w:t>**</w:t>
            </w:r>
          </w:p>
        </w:tc>
        <w:tc>
          <w:tcPr>
            <w:tcW w:w="3185" w:type="dxa"/>
            <w:vMerge/>
            <w:vAlign w:val="center"/>
          </w:tcPr>
          <w:p w:rsidR="004425C9" w:rsidRPr="000668CD" w:rsidRDefault="004425C9" w:rsidP="00BC5C2B">
            <w:pPr>
              <w:jc w:val="left"/>
              <w:rPr>
                <w:sz w:val="16"/>
                <w:szCs w:val="16"/>
              </w:rPr>
            </w:pPr>
          </w:p>
        </w:tc>
        <w:tc>
          <w:tcPr>
            <w:tcW w:w="3969" w:type="dxa"/>
            <w:vAlign w:val="center"/>
          </w:tcPr>
          <w:p w:rsidR="004425C9" w:rsidRDefault="004425C9" w:rsidP="00BC5C2B">
            <w:pPr>
              <w:jc w:val="left"/>
              <w:rPr>
                <w:sz w:val="16"/>
                <w:szCs w:val="16"/>
              </w:rPr>
            </w:pPr>
            <w:r>
              <w:rPr>
                <w:sz w:val="16"/>
                <w:szCs w:val="16"/>
              </w:rPr>
              <w:t>Unquantified. Small-scale commercial drift netters  and recreational fishers exploit the estuary. 26 fishing boats, operating beyond the mouth, are licensed to estuary ports</w:t>
            </w:r>
          </w:p>
        </w:tc>
        <w:tc>
          <w:tcPr>
            <w:tcW w:w="1962" w:type="dxa"/>
            <w:vAlign w:val="center"/>
          </w:tcPr>
          <w:p w:rsidR="004425C9" w:rsidRPr="00CE258D" w:rsidRDefault="004425C9" w:rsidP="00BC5C2B">
            <w:pPr>
              <w:jc w:val="left"/>
              <w:rPr>
                <w:sz w:val="16"/>
                <w:szCs w:val="16"/>
              </w:rPr>
            </w:pPr>
          </w:p>
        </w:tc>
        <w:tc>
          <w:tcPr>
            <w:tcW w:w="1134" w:type="dxa"/>
            <w:vAlign w:val="center"/>
          </w:tcPr>
          <w:p w:rsidR="004425C9" w:rsidRDefault="004425C9" w:rsidP="00BC5C2B">
            <w:pPr>
              <w:jc w:val="left"/>
              <w:rPr>
                <w:sz w:val="16"/>
                <w:szCs w:val="16"/>
              </w:rPr>
            </w:pPr>
            <w:r>
              <w:rPr>
                <w:sz w:val="16"/>
                <w:szCs w:val="16"/>
              </w:rPr>
              <w:t>Poor</w:t>
            </w:r>
          </w:p>
        </w:tc>
        <w:tc>
          <w:tcPr>
            <w:tcW w:w="1060" w:type="dxa"/>
            <w:vAlign w:val="center"/>
          </w:tcPr>
          <w:p w:rsidR="004425C9" w:rsidRPr="000668CD" w:rsidRDefault="004425C9" w:rsidP="00BC5C2B">
            <w:pPr>
              <w:jc w:val="center"/>
              <w:rPr>
                <w:color w:val="000000"/>
                <w:sz w:val="16"/>
                <w:szCs w:val="16"/>
              </w:rPr>
            </w:pPr>
            <w:r w:rsidRPr="000668CD">
              <w:rPr>
                <w:sz w:val="16"/>
                <w:szCs w:val="16"/>
              </w:rPr>
              <w:t>–  –</w:t>
            </w:r>
          </w:p>
        </w:tc>
      </w:tr>
      <w:tr w:rsidR="004425C9" w:rsidRPr="000668CD" w:rsidTr="00BC5C2B">
        <w:trPr>
          <w:trHeight w:val="283"/>
          <w:jc w:val="center"/>
        </w:trPr>
        <w:tc>
          <w:tcPr>
            <w:tcW w:w="1871" w:type="dxa"/>
            <w:tcBorders>
              <w:bottom w:val="single" w:sz="4" w:space="0" w:color="auto"/>
            </w:tcBorders>
            <w:shd w:val="clear" w:color="auto" w:fill="auto"/>
            <w:vAlign w:val="center"/>
          </w:tcPr>
          <w:p w:rsidR="004425C9" w:rsidRPr="000668CD" w:rsidRDefault="004425C9" w:rsidP="00BC5C2B">
            <w:pPr>
              <w:jc w:val="left"/>
              <w:rPr>
                <w:sz w:val="16"/>
                <w:szCs w:val="16"/>
              </w:rPr>
            </w:pPr>
            <w:r w:rsidRPr="000668CD">
              <w:rPr>
                <w:sz w:val="16"/>
                <w:szCs w:val="16"/>
              </w:rPr>
              <w:t>Marine plants</w:t>
            </w:r>
          </w:p>
        </w:tc>
        <w:tc>
          <w:tcPr>
            <w:tcW w:w="1020" w:type="dxa"/>
            <w:tcBorders>
              <w:bottom w:val="single" w:sz="4" w:space="0" w:color="auto"/>
            </w:tcBorders>
            <w:vAlign w:val="center"/>
          </w:tcPr>
          <w:p w:rsidR="004425C9" w:rsidRPr="000668CD" w:rsidRDefault="004425C9" w:rsidP="00BC5C2B">
            <w:pPr>
              <w:jc w:val="center"/>
              <w:rPr>
                <w:sz w:val="16"/>
                <w:szCs w:val="16"/>
              </w:rPr>
            </w:pPr>
            <w:r w:rsidRPr="000668CD">
              <w:rPr>
                <w:sz w:val="16"/>
                <w:szCs w:val="16"/>
              </w:rPr>
              <w:t>*</w:t>
            </w:r>
          </w:p>
        </w:tc>
        <w:tc>
          <w:tcPr>
            <w:tcW w:w="3185" w:type="dxa"/>
            <w:vMerge/>
            <w:tcBorders>
              <w:bottom w:val="single" w:sz="4" w:space="0" w:color="auto"/>
            </w:tcBorders>
            <w:vAlign w:val="center"/>
          </w:tcPr>
          <w:p w:rsidR="004425C9" w:rsidRDefault="004425C9" w:rsidP="00BC5C2B">
            <w:pPr>
              <w:jc w:val="left"/>
              <w:rPr>
                <w:sz w:val="16"/>
                <w:szCs w:val="16"/>
              </w:rPr>
            </w:pPr>
          </w:p>
        </w:tc>
        <w:tc>
          <w:tcPr>
            <w:tcW w:w="3969" w:type="dxa"/>
            <w:tcBorders>
              <w:bottom w:val="single" w:sz="4" w:space="0" w:color="auto"/>
            </w:tcBorders>
            <w:vAlign w:val="center"/>
          </w:tcPr>
          <w:p w:rsidR="004425C9" w:rsidRDefault="004425C9" w:rsidP="00BC5C2B">
            <w:pPr>
              <w:jc w:val="left"/>
              <w:rPr>
                <w:sz w:val="16"/>
                <w:szCs w:val="16"/>
              </w:rPr>
            </w:pPr>
            <w:r>
              <w:rPr>
                <w:sz w:val="16"/>
                <w:szCs w:val="16"/>
              </w:rPr>
              <w:t>Unquantified, small scale</w:t>
            </w:r>
            <w:bookmarkStart w:id="4" w:name="_GoBack"/>
            <w:bookmarkEnd w:id="4"/>
          </w:p>
        </w:tc>
        <w:tc>
          <w:tcPr>
            <w:tcW w:w="1962" w:type="dxa"/>
            <w:tcBorders>
              <w:bottom w:val="single" w:sz="4" w:space="0" w:color="auto"/>
            </w:tcBorders>
            <w:vAlign w:val="center"/>
          </w:tcPr>
          <w:p w:rsidR="004425C9" w:rsidRPr="00CE258D" w:rsidRDefault="004425C9" w:rsidP="00BC5C2B">
            <w:pPr>
              <w:jc w:val="left"/>
              <w:rPr>
                <w:sz w:val="16"/>
                <w:szCs w:val="16"/>
              </w:rPr>
            </w:pPr>
          </w:p>
        </w:tc>
        <w:tc>
          <w:tcPr>
            <w:tcW w:w="1134" w:type="dxa"/>
            <w:tcBorders>
              <w:bottom w:val="single" w:sz="4" w:space="0" w:color="auto"/>
            </w:tcBorders>
            <w:vAlign w:val="center"/>
          </w:tcPr>
          <w:p w:rsidR="004425C9" w:rsidRDefault="004425C9" w:rsidP="00BC5C2B">
            <w:pPr>
              <w:jc w:val="left"/>
              <w:rPr>
                <w:sz w:val="16"/>
                <w:szCs w:val="16"/>
              </w:rPr>
            </w:pPr>
            <w:r>
              <w:rPr>
                <w:sz w:val="16"/>
                <w:szCs w:val="16"/>
              </w:rPr>
              <w:t>Poor</w:t>
            </w:r>
          </w:p>
        </w:tc>
        <w:tc>
          <w:tcPr>
            <w:tcW w:w="1060" w:type="dxa"/>
            <w:tcBorders>
              <w:bottom w:val="single" w:sz="4" w:space="0" w:color="auto"/>
            </w:tcBorders>
            <w:vAlign w:val="center"/>
          </w:tcPr>
          <w:p w:rsidR="004425C9" w:rsidRPr="000668CD" w:rsidRDefault="004425C9" w:rsidP="00BC5C2B">
            <w:pPr>
              <w:jc w:val="center"/>
              <w:rPr>
                <w:sz w:val="16"/>
                <w:szCs w:val="16"/>
              </w:rPr>
            </w:pPr>
            <w:r w:rsidRPr="000668CD">
              <w:rPr>
                <w:sz w:val="16"/>
                <w:szCs w:val="16"/>
              </w:rPr>
              <w:t>0</w:t>
            </w:r>
          </w:p>
        </w:tc>
      </w:tr>
      <w:tr w:rsidR="004425C9" w:rsidRPr="000668CD" w:rsidTr="00BC5C2B">
        <w:trPr>
          <w:trHeight w:val="227"/>
          <w:jc w:val="center"/>
        </w:trPr>
        <w:tc>
          <w:tcPr>
            <w:tcW w:w="1871" w:type="dxa"/>
            <w:tcBorders>
              <w:top w:val="single" w:sz="4" w:space="0" w:color="auto"/>
            </w:tcBorders>
            <w:shd w:val="clear" w:color="auto" w:fill="auto"/>
            <w:vAlign w:val="center"/>
          </w:tcPr>
          <w:p w:rsidR="004425C9" w:rsidRPr="00E91289" w:rsidRDefault="004425C9" w:rsidP="00BC5C2B">
            <w:pPr>
              <w:jc w:val="left"/>
              <w:rPr>
                <w:i/>
                <w:sz w:val="16"/>
                <w:szCs w:val="16"/>
              </w:rPr>
            </w:pPr>
            <w:r w:rsidRPr="00E91289">
              <w:rPr>
                <w:i/>
                <w:sz w:val="16"/>
                <w:szCs w:val="16"/>
              </w:rPr>
              <w:t>Raw materials</w:t>
            </w:r>
          </w:p>
        </w:tc>
        <w:tc>
          <w:tcPr>
            <w:tcW w:w="1020" w:type="dxa"/>
            <w:tcBorders>
              <w:top w:val="single" w:sz="4" w:space="0" w:color="auto"/>
            </w:tcBorders>
            <w:vAlign w:val="center"/>
          </w:tcPr>
          <w:p w:rsidR="004425C9" w:rsidRPr="000668CD" w:rsidRDefault="004425C9" w:rsidP="00BC5C2B">
            <w:pPr>
              <w:jc w:val="center"/>
              <w:rPr>
                <w:sz w:val="16"/>
                <w:szCs w:val="16"/>
              </w:rPr>
            </w:pPr>
          </w:p>
        </w:tc>
        <w:tc>
          <w:tcPr>
            <w:tcW w:w="3185" w:type="dxa"/>
            <w:tcBorders>
              <w:top w:val="single" w:sz="4" w:space="0" w:color="auto"/>
            </w:tcBorders>
            <w:vAlign w:val="center"/>
          </w:tcPr>
          <w:p w:rsidR="004425C9" w:rsidRPr="000668CD" w:rsidRDefault="004425C9" w:rsidP="00BC5C2B">
            <w:pPr>
              <w:jc w:val="left"/>
              <w:rPr>
                <w:sz w:val="16"/>
                <w:szCs w:val="16"/>
              </w:rPr>
            </w:pPr>
          </w:p>
        </w:tc>
        <w:tc>
          <w:tcPr>
            <w:tcW w:w="3969" w:type="dxa"/>
            <w:tcBorders>
              <w:top w:val="single" w:sz="4" w:space="0" w:color="auto"/>
            </w:tcBorders>
            <w:vAlign w:val="center"/>
          </w:tcPr>
          <w:p w:rsidR="004425C9" w:rsidRPr="000668CD" w:rsidRDefault="004425C9" w:rsidP="00BC5C2B">
            <w:pPr>
              <w:jc w:val="left"/>
              <w:rPr>
                <w:sz w:val="16"/>
                <w:szCs w:val="16"/>
              </w:rPr>
            </w:pPr>
          </w:p>
        </w:tc>
        <w:tc>
          <w:tcPr>
            <w:tcW w:w="1962" w:type="dxa"/>
            <w:tcBorders>
              <w:top w:val="single" w:sz="4" w:space="0" w:color="auto"/>
            </w:tcBorders>
            <w:vAlign w:val="center"/>
          </w:tcPr>
          <w:p w:rsidR="004425C9" w:rsidRPr="00CE258D" w:rsidRDefault="004425C9" w:rsidP="00BC5C2B">
            <w:pPr>
              <w:jc w:val="left"/>
              <w:rPr>
                <w:sz w:val="16"/>
                <w:szCs w:val="16"/>
              </w:rPr>
            </w:pPr>
          </w:p>
        </w:tc>
        <w:tc>
          <w:tcPr>
            <w:tcW w:w="1134" w:type="dxa"/>
            <w:tcBorders>
              <w:top w:val="single" w:sz="4" w:space="0" w:color="auto"/>
            </w:tcBorders>
            <w:vAlign w:val="center"/>
          </w:tcPr>
          <w:p w:rsidR="004425C9" w:rsidRPr="000668CD" w:rsidRDefault="004425C9" w:rsidP="00BC5C2B">
            <w:pPr>
              <w:jc w:val="left"/>
              <w:rPr>
                <w:sz w:val="16"/>
                <w:szCs w:val="16"/>
              </w:rPr>
            </w:pPr>
          </w:p>
        </w:tc>
        <w:tc>
          <w:tcPr>
            <w:tcW w:w="1060" w:type="dxa"/>
            <w:tcBorders>
              <w:top w:val="single" w:sz="4" w:space="0" w:color="auto"/>
            </w:tcBorders>
            <w:vAlign w:val="center"/>
          </w:tcPr>
          <w:p w:rsidR="004425C9" w:rsidRPr="000668CD" w:rsidRDefault="004425C9" w:rsidP="00BC5C2B">
            <w:pPr>
              <w:jc w:val="center"/>
              <w:rPr>
                <w:sz w:val="16"/>
                <w:szCs w:val="16"/>
              </w:rPr>
            </w:pPr>
          </w:p>
        </w:tc>
      </w:tr>
      <w:tr w:rsidR="004425C9" w:rsidRPr="000668CD" w:rsidTr="00BC5C2B">
        <w:trPr>
          <w:trHeight w:val="283"/>
          <w:jc w:val="center"/>
        </w:trPr>
        <w:tc>
          <w:tcPr>
            <w:tcW w:w="1871" w:type="dxa"/>
            <w:shd w:val="clear" w:color="auto" w:fill="auto"/>
            <w:vAlign w:val="center"/>
          </w:tcPr>
          <w:p w:rsidR="004425C9" w:rsidRPr="000668CD" w:rsidRDefault="004425C9" w:rsidP="00BC5C2B">
            <w:pPr>
              <w:jc w:val="left"/>
              <w:rPr>
                <w:sz w:val="16"/>
                <w:szCs w:val="16"/>
              </w:rPr>
            </w:pPr>
            <w:r w:rsidRPr="000668CD">
              <w:rPr>
                <w:sz w:val="16"/>
                <w:szCs w:val="16"/>
              </w:rPr>
              <w:t>Bait</w:t>
            </w:r>
          </w:p>
        </w:tc>
        <w:tc>
          <w:tcPr>
            <w:tcW w:w="1020" w:type="dxa"/>
            <w:vAlign w:val="center"/>
          </w:tcPr>
          <w:p w:rsidR="004425C9" w:rsidRPr="000668CD" w:rsidRDefault="004425C9" w:rsidP="00BC5C2B">
            <w:pPr>
              <w:jc w:val="center"/>
              <w:rPr>
                <w:sz w:val="16"/>
                <w:szCs w:val="16"/>
              </w:rPr>
            </w:pPr>
            <w:r w:rsidRPr="000668CD">
              <w:rPr>
                <w:sz w:val="16"/>
                <w:szCs w:val="16"/>
              </w:rPr>
              <w:t>*</w:t>
            </w:r>
          </w:p>
        </w:tc>
        <w:tc>
          <w:tcPr>
            <w:tcW w:w="3185" w:type="dxa"/>
            <w:vAlign w:val="center"/>
          </w:tcPr>
          <w:p w:rsidR="004425C9" w:rsidRPr="000668CD" w:rsidRDefault="004425C9" w:rsidP="00BC5C2B">
            <w:pPr>
              <w:jc w:val="left"/>
              <w:rPr>
                <w:sz w:val="16"/>
                <w:szCs w:val="16"/>
              </w:rPr>
            </w:pPr>
            <w:r>
              <w:rPr>
                <w:sz w:val="16"/>
                <w:szCs w:val="16"/>
              </w:rPr>
              <w:t>Harvest statistics (kg/</w:t>
            </w:r>
            <w:proofErr w:type="spellStart"/>
            <w:r>
              <w:rPr>
                <w:sz w:val="16"/>
                <w:szCs w:val="16"/>
              </w:rPr>
              <w:t>yr</w:t>
            </w:r>
            <w:proofErr w:type="spellEnd"/>
            <w:r>
              <w:rPr>
                <w:sz w:val="16"/>
                <w:szCs w:val="16"/>
              </w:rPr>
              <w:t>)</w:t>
            </w:r>
          </w:p>
        </w:tc>
        <w:tc>
          <w:tcPr>
            <w:tcW w:w="3969" w:type="dxa"/>
            <w:vAlign w:val="center"/>
          </w:tcPr>
          <w:p w:rsidR="004425C9" w:rsidRPr="000668CD" w:rsidRDefault="004425C9" w:rsidP="00BC5C2B">
            <w:pPr>
              <w:jc w:val="left"/>
              <w:rPr>
                <w:sz w:val="16"/>
                <w:szCs w:val="16"/>
              </w:rPr>
            </w:pPr>
            <w:r>
              <w:rPr>
                <w:sz w:val="16"/>
                <w:szCs w:val="16"/>
              </w:rPr>
              <w:t>Unquantified, common</w:t>
            </w:r>
          </w:p>
        </w:tc>
        <w:tc>
          <w:tcPr>
            <w:tcW w:w="1962" w:type="dxa"/>
            <w:vAlign w:val="center"/>
          </w:tcPr>
          <w:p w:rsidR="004425C9" w:rsidRPr="00CE258D" w:rsidRDefault="004425C9" w:rsidP="00BC5C2B">
            <w:pPr>
              <w:jc w:val="left"/>
              <w:rPr>
                <w:sz w:val="16"/>
                <w:szCs w:val="16"/>
              </w:rPr>
            </w:pPr>
          </w:p>
        </w:tc>
        <w:tc>
          <w:tcPr>
            <w:tcW w:w="1134" w:type="dxa"/>
            <w:vAlign w:val="center"/>
          </w:tcPr>
          <w:p w:rsidR="004425C9" w:rsidRDefault="004425C9" w:rsidP="00BC5C2B">
            <w:pPr>
              <w:jc w:val="left"/>
              <w:rPr>
                <w:sz w:val="16"/>
                <w:szCs w:val="16"/>
              </w:rPr>
            </w:pPr>
            <w:r>
              <w:rPr>
                <w:sz w:val="16"/>
                <w:szCs w:val="16"/>
              </w:rPr>
              <w:t>Poor</w:t>
            </w:r>
          </w:p>
        </w:tc>
        <w:tc>
          <w:tcPr>
            <w:tcW w:w="1060" w:type="dxa"/>
            <w:vAlign w:val="center"/>
          </w:tcPr>
          <w:p w:rsidR="004425C9" w:rsidRPr="000668CD" w:rsidRDefault="004425C9" w:rsidP="00BC5C2B">
            <w:pPr>
              <w:jc w:val="center"/>
              <w:rPr>
                <w:sz w:val="16"/>
                <w:szCs w:val="16"/>
              </w:rPr>
            </w:pPr>
            <w:r w:rsidRPr="000668CD">
              <w:rPr>
                <w:sz w:val="16"/>
                <w:szCs w:val="16"/>
              </w:rPr>
              <w:t>–  –  –</w:t>
            </w:r>
          </w:p>
        </w:tc>
      </w:tr>
      <w:tr w:rsidR="004425C9" w:rsidRPr="000668CD" w:rsidTr="00BC5C2B">
        <w:trPr>
          <w:trHeight w:val="283"/>
          <w:jc w:val="center"/>
        </w:trPr>
        <w:tc>
          <w:tcPr>
            <w:tcW w:w="6076" w:type="dxa"/>
            <w:gridSpan w:val="3"/>
            <w:tcBorders>
              <w:top w:val="single" w:sz="12" w:space="0" w:color="auto"/>
            </w:tcBorders>
            <w:shd w:val="clear" w:color="auto" w:fill="auto"/>
            <w:vAlign w:val="center"/>
          </w:tcPr>
          <w:p w:rsidR="004425C9" w:rsidRPr="000668CD" w:rsidRDefault="004425C9" w:rsidP="00BC5C2B">
            <w:pPr>
              <w:jc w:val="left"/>
              <w:rPr>
                <w:sz w:val="16"/>
                <w:szCs w:val="16"/>
              </w:rPr>
            </w:pPr>
            <w:r>
              <w:rPr>
                <w:b/>
                <w:i/>
                <w:sz w:val="16"/>
                <w:szCs w:val="16"/>
              </w:rPr>
              <w:t>B. Direct use (non- consumptive)</w:t>
            </w:r>
          </w:p>
        </w:tc>
        <w:tc>
          <w:tcPr>
            <w:tcW w:w="3969" w:type="dxa"/>
            <w:tcBorders>
              <w:top w:val="single" w:sz="12" w:space="0" w:color="auto"/>
            </w:tcBorders>
            <w:vAlign w:val="center"/>
          </w:tcPr>
          <w:p w:rsidR="004425C9" w:rsidRPr="000668CD" w:rsidRDefault="004425C9" w:rsidP="00BC5C2B">
            <w:pPr>
              <w:jc w:val="left"/>
              <w:rPr>
                <w:sz w:val="16"/>
                <w:szCs w:val="16"/>
              </w:rPr>
            </w:pPr>
          </w:p>
        </w:tc>
        <w:tc>
          <w:tcPr>
            <w:tcW w:w="1962" w:type="dxa"/>
            <w:tcBorders>
              <w:top w:val="single" w:sz="12" w:space="0" w:color="auto"/>
            </w:tcBorders>
            <w:vAlign w:val="center"/>
          </w:tcPr>
          <w:p w:rsidR="004425C9" w:rsidRPr="00CE258D" w:rsidRDefault="004425C9" w:rsidP="00BC5C2B">
            <w:pPr>
              <w:jc w:val="left"/>
              <w:rPr>
                <w:sz w:val="16"/>
                <w:szCs w:val="16"/>
              </w:rPr>
            </w:pPr>
          </w:p>
        </w:tc>
        <w:tc>
          <w:tcPr>
            <w:tcW w:w="1134" w:type="dxa"/>
            <w:tcBorders>
              <w:top w:val="single" w:sz="12" w:space="0" w:color="auto"/>
            </w:tcBorders>
            <w:vAlign w:val="center"/>
          </w:tcPr>
          <w:p w:rsidR="004425C9" w:rsidRPr="000668CD" w:rsidRDefault="004425C9" w:rsidP="00BC5C2B">
            <w:pPr>
              <w:jc w:val="left"/>
              <w:rPr>
                <w:sz w:val="16"/>
                <w:szCs w:val="16"/>
              </w:rPr>
            </w:pPr>
          </w:p>
        </w:tc>
        <w:tc>
          <w:tcPr>
            <w:tcW w:w="1060" w:type="dxa"/>
            <w:tcBorders>
              <w:top w:val="single" w:sz="12" w:space="0" w:color="auto"/>
            </w:tcBorders>
            <w:vAlign w:val="center"/>
          </w:tcPr>
          <w:p w:rsidR="004425C9" w:rsidRPr="000668CD" w:rsidRDefault="004425C9" w:rsidP="00BC5C2B">
            <w:pPr>
              <w:jc w:val="left"/>
              <w:rPr>
                <w:sz w:val="16"/>
                <w:szCs w:val="16"/>
              </w:rPr>
            </w:pPr>
          </w:p>
        </w:tc>
      </w:tr>
      <w:tr w:rsidR="004425C9" w:rsidRPr="000668CD" w:rsidTr="00BC5C2B">
        <w:trPr>
          <w:trHeight w:val="227"/>
          <w:jc w:val="center"/>
        </w:trPr>
        <w:tc>
          <w:tcPr>
            <w:tcW w:w="1871" w:type="dxa"/>
            <w:shd w:val="clear" w:color="auto" w:fill="auto"/>
            <w:vAlign w:val="center"/>
          </w:tcPr>
          <w:p w:rsidR="004425C9" w:rsidRPr="00E91289" w:rsidRDefault="004425C9" w:rsidP="00BC5C2B">
            <w:pPr>
              <w:jc w:val="left"/>
              <w:rPr>
                <w:i/>
                <w:sz w:val="16"/>
                <w:szCs w:val="16"/>
              </w:rPr>
            </w:pPr>
            <w:r>
              <w:rPr>
                <w:i/>
                <w:sz w:val="16"/>
                <w:szCs w:val="16"/>
              </w:rPr>
              <w:t>Provision of space</w:t>
            </w:r>
          </w:p>
        </w:tc>
        <w:tc>
          <w:tcPr>
            <w:tcW w:w="1020" w:type="dxa"/>
            <w:vAlign w:val="center"/>
          </w:tcPr>
          <w:p w:rsidR="004425C9" w:rsidRDefault="004425C9" w:rsidP="00BC5C2B">
            <w:pPr>
              <w:jc w:val="center"/>
              <w:rPr>
                <w:sz w:val="16"/>
                <w:szCs w:val="16"/>
              </w:rPr>
            </w:pPr>
          </w:p>
        </w:tc>
        <w:tc>
          <w:tcPr>
            <w:tcW w:w="3185" w:type="dxa"/>
            <w:vAlign w:val="center"/>
          </w:tcPr>
          <w:p w:rsidR="004425C9" w:rsidRPr="000668CD" w:rsidRDefault="004425C9" w:rsidP="00BC5C2B">
            <w:pPr>
              <w:jc w:val="left"/>
              <w:rPr>
                <w:sz w:val="16"/>
                <w:szCs w:val="16"/>
              </w:rPr>
            </w:pPr>
          </w:p>
        </w:tc>
        <w:tc>
          <w:tcPr>
            <w:tcW w:w="3969" w:type="dxa"/>
            <w:vAlign w:val="center"/>
          </w:tcPr>
          <w:p w:rsidR="004425C9" w:rsidRPr="000668CD" w:rsidRDefault="004425C9" w:rsidP="00BC5C2B">
            <w:pPr>
              <w:jc w:val="left"/>
              <w:rPr>
                <w:sz w:val="16"/>
                <w:szCs w:val="16"/>
              </w:rPr>
            </w:pPr>
          </w:p>
        </w:tc>
        <w:tc>
          <w:tcPr>
            <w:tcW w:w="1962" w:type="dxa"/>
            <w:vAlign w:val="center"/>
          </w:tcPr>
          <w:p w:rsidR="004425C9" w:rsidRPr="00CE258D" w:rsidRDefault="004425C9" w:rsidP="00BC5C2B">
            <w:pPr>
              <w:jc w:val="left"/>
              <w:rPr>
                <w:sz w:val="16"/>
                <w:szCs w:val="16"/>
              </w:rPr>
            </w:pPr>
          </w:p>
        </w:tc>
        <w:tc>
          <w:tcPr>
            <w:tcW w:w="1134" w:type="dxa"/>
            <w:vAlign w:val="center"/>
          </w:tcPr>
          <w:p w:rsidR="004425C9" w:rsidRPr="000668CD" w:rsidRDefault="004425C9" w:rsidP="00BC5C2B">
            <w:pPr>
              <w:jc w:val="left"/>
              <w:rPr>
                <w:sz w:val="16"/>
                <w:szCs w:val="16"/>
              </w:rPr>
            </w:pPr>
          </w:p>
        </w:tc>
        <w:tc>
          <w:tcPr>
            <w:tcW w:w="1060" w:type="dxa"/>
            <w:vAlign w:val="center"/>
          </w:tcPr>
          <w:p w:rsidR="004425C9" w:rsidRPr="000668CD" w:rsidRDefault="004425C9" w:rsidP="00BC5C2B">
            <w:pPr>
              <w:jc w:val="center"/>
              <w:rPr>
                <w:sz w:val="16"/>
                <w:szCs w:val="16"/>
              </w:rPr>
            </w:pPr>
          </w:p>
        </w:tc>
      </w:tr>
      <w:tr w:rsidR="004425C9" w:rsidRPr="000668CD" w:rsidTr="00BC5C2B">
        <w:trPr>
          <w:trHeight w:val="283"/>
          <w:jc w:val="center"/>
        </w:trPr>
        <w:tc>
          <w:tcPr>
            <w:tcW w:w="1871" w:type="dxa"/>
            <w:shd w:val="clear" w:color="auto" w:fill="auto"/>
            <w:vAlign w:val="center"/>
          </w:tcPr>
          <w:p w:rsidR="004425C9" w:rsidRPr="000668CD" w:rsidRDefault="004425C9" w:rsidP="00BC5C2B">
            <w:pPr>
              <w:jc w:val="left"/>
              <w:rPr>
                <w:sz w:val="16"/>
                <w:szCs w:val="16"/>
              </w:rPr>
            </w:pPr>
            <w:r>
              <w:rPr>
                <w:sz w:val="16"/>
                <w:szCs w:val="16"/>
              </w:rPr>
              <w:t>Moorings</w:t>
            </w:r>
          </w:p>
        </w:tc>
        <w:tc>
          <w:tcPr>
            <w:tcW w:w="1020" w:type="dxa"/>
            <w:vAlign w:val="center"/>
          </w:tcPr>
          <w:p w:rsidR="004425C9" w:rsidRPr="000668CD" w:rsidRDefault="004425C9" w:rsidP="00BC5C2B">
            <w:pPr>
              <w:jc w:val="center"/>
              <w:rPr>
                <w:sz w:val="16"/>
                <w:szCs w:val="16"/>
              </w:rPr>
            </w:pPr>
            <w:r w:rsidRPr="000668CD">
              <w:rPr>
                <w:sz w:val="16"/>
                <w:szCs w:val="16"/>
              </w:rPr>
              <w:t>*</w:t>
            </w:r>
          </w:p>
        </w:tc>
        <w:tc>
          <w:tcPr>
            <w:tcW w:w="3185" w:type="dxa"/>
            <w:vAlign w:val="center"/>
          </w:tcPr>
          <w:p w:rsidR="004425C9" w:rsidRPr="000668CD" w:rsidRDefault="004425C9" w:rsidP="00BC5C2B">
            <w:pPr>
              <w:jc w:val="left"/>
              <w:rPr>
                <w:sz w:val="16"/>
                <w:szCs w:val="16"/>
              </w:rPr>
            </w:pPr>
            <w:r>
              <w:rPr>
                <w:sz w:val="16"/>
                <w:szCs w:val="16"/>
              </w:rPr>
              <w:t>Number of moorings</w:t>
            </w:r>
          </w:p>
        </w:tc>
        <w:tc>
          <w:tcPr>
            <w:tcW w:w="3969" w:type="dxa"/>
            <w:vAlign w:val="center"/>
          </w:tcPr>
          <w:p w:rsidR="004425C9" w:rsidRPr="000668CD" w:rsidRDefault="004425C9" w:rsidP="00BC5C2B">
            <w:pPr>
              <w:jc w:val="left"/>
              <w:rPr>
                <w:sz w:val="16"/>
                <w:szCs w:val="16"/>
              </w:rPr>
            </w:pPr>
            <w:r>
              <w:rPr>
                <w:sz w:val="16"/>
                <w:szCs w:val="16"/>
              </w:rPr>
              <w:t>Unknown</w:t>
            </w:r>
          </w:p>
        </w:tc>
        <w:tc>
          <w:tcPr>
            <w:tcW w:w="1962" w:type="dxa"/>
            <w:vAlign w:val="center"/>
          </w:tcPr>
          <w:p w:rsidR="004425C9" w:rsidRPr="00CE258D" w:rsidRDefault="004425C9" w:rsidP="00BC5C2B">
            <w:pPr>
              <w:jc w:val="left"/>
              <w:rPr>
                <w:sz w:val="16"/>
                <w:szCs w:val="16"/>
              </w:rPr>
            </w:pPr>
          </w:p>
        </w:tc>
        <w:tc>
          <w:tcPr>
            <w:tcW w:w="1134" w:type="dxa"/>
            <w:vAlign w:val="center"/>
          </w:tcPr>
          <w:p w:rsidR="004425C9" w:rsidRDefault="004425C9" w:rsidP="00BC5C2B">
            <w:pPr>
              <w:jc w:val="left"/>
              <w:rPr>
                <w:sz w:val="16"/>
                <w:szCs w:val="16"/>
              </w:rPr>
            </w:pPr>
            <w:r>
              <w:rPr>
                <w:sz w:val="16"/>
                <w:szCs w:val="16"/>
              </w:rPr>
              <w:t>Poor</w:t>
            </w:r>
          </w:p>
        </w:tc>
        <w:tc>
          <w:tcPr>
            <w:tcW w:w="1060" w:type="dxa"/>
            <w:vAlign w:val="center"/>
          </w:tcPr>
          <w:p w:rsidR="004425C9" w:rsidRPr="000668CD" w:rsidRDefault="004425C9" w:rsidP="00BC5C2B">
            <w:pPr>
              <w:jc w:val="center"/>
              <w:rPr>
                <w:sz w:val="16"/>
                <w:szCs w:val="16"/>
              </w:rPr>
            </w:pPr>
            <w:r w:rsidRPr="000668CD">
              <w:rPr>
                <w:sz w:val="16"/>
                <w:szCs w:val="16"/>
              </w:rPr>
              <w:t>–</w:t>
            </w:r>
          </w:p>
        </w:tc>
      </w:tr>
      <w:tr w:rsidR="004425C9" w:rsidRPr="00AD33B9" w:rsidTr="00BC5C2B">
        <w:trPr>
          <w:trHeight w:val="283"/>
          <w:jc w:val="center"/>
        </w:trPr>
        <w:tc>
          <w:tcPr>
            <w:tcW w:w="1871" w:type="dxa"/>
            <w:shd w:val="clear" w:color="auto" w:fill="auto"/>
            <w:vAlign w:val="center"/>
          </w:tcPr>
          <w:p w:rsidR="004425C9" w:rsidRPr="00A17662" w:rsidRDefault="004425C9" w:rsidP="00BC5C2B">
            <w:pPr>
              <w:jc w:val="left"/>
              <w:rPr>
                <w:sz w:val="16"/>
                <w:szCs w:val="16"/>
              </w:rPr>
            </w:pPr>
            <w:r w:rsidRPr="00A17662">
              <w:rPr>
                <w:sz w:val="16"/>
                <w:szCs w:val="16"/>
              </w:rPr>
              <w:t>Military operations</w:t>
            </w:r>
          </w:p>
        </w:tc>
        <w:tc>
          <w:tcPr>
            <w:tcW w:w="1020" w:type="dxa"/>
            <w:vAlign w:val="center"/>
          </w:tcPr>
          <w:p w:rsidR="004425C9" w:rsidRPr="00A17662" w:rsidRDefault="004425C9" w:rsidP="00BC5C2B">
            <w:pPr>
              <w:jc w:val="center"/>
              <w:rPr>
                <w:sz w:val="16"/>
                <w:szCs w:val="16"/>
              </w:rPr>
            </w:pPr>
            <w:r w:rsidRPr="00A17662">
              <w:rPr>
                <w:sz w:val="16"/>
                <w:szCs w:val="16"/>
              </w:rPr>
              <w:t>***</w:t>
            </w:r>
          </w:p>
        </w:tc>
        <w:tc>
          <w:tcPr>
            <w:tcW w:w="3185" w:type="dxa"/>
            <w:vAlign w:val="center"/>
          </w:tcPr>
          <w:p w:rsidR="004425C9" w:rsidRPr="00A17662" w:rsidRDefault="004425C9" w:rsidP="00BC5C2B">
            <w:pPr>
              <w:jc w:val="left"/>
              <w:rPr>
                <w:sz w:val="16"/>
                <w:szCs w:val="16"/>
              </w:rPr>
            </w:pPr>
            <w:r w:rsidRPr="00A17662">
              <w:rPr>
                <w:sz w:val="16"/>
                <w:szCs w:val="16"/>
              </w:rPr>
              <w:t>Frequency of exercises</w:t>
            </w:r>
          </w:p>
        </w:tc>
        <w:tc>
          <w:tcPr>
            <w:tcW w:w="3969" w:type="dxa"/>
            <w:vAlign w:val="center"/>
          </w:tcPr>
          <w:p w:rsidR="004425C9" w:rsidRPr="00A17662" w:rsidRDefault="004425C9" w:rsidP="00BC5C2B">
            <w:pPr>
              <w:jc w:val="left"/>
              <w:rPr>
                <w:sz w:val="16"/>
                <w:szCs w:val="16"/>
              </w:rPr>
            </w:pPr>
            <w:r w:rsidRPr="00A17662">
              <w:rPr>
                <w:sz w:val="16"/>
                <w:szCs w:val="16"/>
              </w:rPr>
              <w:t>Frequent usage (e.g. 1-2 trips/ week for larger Landing Craft Utility vessel,  beach driving courses twice/ month)</w:t>
            </w:r>
          </w:p>
        </w:tc>
        <w:tc>
          <w:tcPr>
            <w:tcW w:w="1962" w:type="dxa"/>
            <w:vAlign w:val="center"/>
          </w:tcPr>
          <w:p w:rsidR="004425C9" w:rsidRPr="00CE258D" w:rsidRDefault="004425C9" w:rsidP="00BC5C2B">
            <w:pPr>
              <w:jc w:val="left"/>
              <w:rPr>
                <w:sz w:val="16"/>
                <w:szCs w:val="16"/>
              </w:rPr>
            </w:pPr>
            <w:proofErr w:type="spellStart"/>
            <w:r w:rsidRPr="00CE258D">
              <w:rPr>
                <w:i/>
                <w:sz w:val="16"/>
                <w:szCs w:val="16"/>
              </w:rPr>
              <w:t>pers</w:t>
            </w:r>
            <w:proofErr w:type="spellEnd"/>
            <w:r w:rsidRPr="00CE258D">
              <w:rPr>
                <w:i/>
                <w:sz w:val="16"/>
                <w:szCs w:val="16"/>
              </w:rPr>
              <w:t xml:space="preserve"> comm.</w:t>
            </w:r>
            <w:r w:rsidRPr="00CE258D">
              <w:rPr>
                <w:sz w:val="16"/>
                <w:szCs w:val="16"/>
              </w:rPr>
              <w:t>(Royal Marines)</w:t>
            </w:r>
          </w:p>
        </w:tc>
        <w:tc>
          <w:tcPr>
            <w:tcW w:w="1134" w:type="dxa"/>
            <w:vAlign w:val="center"/>
          </w:tcPr>
          <w:p w:rsidR="004425C9" w:rsidRPr="006603EF" w:rsidRDefault="004425C9" w:rsidP="00BC5C2B">
            <w:pPr>
              <w:jc w:val="left"/>
              <w:rPr>
                <w:sz w:val="16"/>
                <w:szCs w:val="16"/>
              </w:rPr>
            </w:pPr>
            <w:r w:rsidRPr="006603EF">
              <w:rPr>
                <w:sz w:val="16"/>
                <w:szCs w:val="16"/>
              </w:rPr>
              <w:t>Good</w:t>
            </w:r>
          </w:p>
        </w:tc>
        <w:tc>
          <w:tcPr>
            <w:tcW w:w="1060" w:type="dxa"/>
            <w:vAlign w:val="center"/>
          </w:tcPr>
          <w:p w:rsidR="004425C9" w:rsidRPr="00A17662" w:rsidRDefault="004425C9" w:rsidP="00BC5C2B">
            <w:pPr>
              <w:jc w:val="center"/>
              <w:rPr>
                <w:sz w:val="16"/>
                <w:szCs w:val="16"/>
              </w:rPr>
            </w:pPr>
            <w:r w:rsidRPr="00A17662">
              <w:rPr>
                <w:sz w:val="16"/>
                <w:szCs w:val="16"/>
              </w:rPr>
              <w:t>–  –</w:t>
            </w:r>
          </w:p>
        </w:tc>
      </w:tr>
      <w:tr w:rsidR="004425C9" w:rsidRPr="000668CD" w:rsidTr="00BC5C2B">
        <w:trPr>
          <w:trHeight w:val="283"/>
          <w:jc w:val="center"/>
        </w:trPr>
        <w:tc>
          <w:tcPr>
            <w:tcW w:w="1871" w:type="dxa"/>
            <w:tcBorders>
              <w:bottom w:val="single" w:sz="4" w:space="0" w:color="auto"/>
            </w:tcBorders>
            <w:shd w:val="clear" w:color="auto" w:fill="auto"/>
            <w:vAlign w:val="center"/>
          </w:tcPr>
          <w:p w:rsidR="004425C9" w:rsidRPr="000668CD" w:rsidRDefault="004425C9" w:rsidP="00BC5C2B">
            <w:pPr>
              <w:jc w:val="left"/>
              <w:rPr>
                <w:sz w:val="16"/>
                <w:szCs w:val="16"/>
              </w:rPr>
            </w:pPr>
            <w:r w:rsidRPr="000668CD">
              <w:rPr>
                <w:sz w:val="16"/>
                <w:szCs w:val="16"/>
              </w:rPr>
              <w:t>Cables and pipelines</w:t>
            </w:r>
          </w:p>
        </w:tc>
        <w:tc>
          <w:tcPr>
            <w:tcW w:w="1020" w:type="dxa"/>
            <w:tcBorders>
              <w:bottom w:val="single" w:sz="4" w:space="0" w:color="auto"/>
            </w:tcBorders>
            <w:vAlign w:val="center"/>
          </w:tcPr>
          <w:p w:rsidR="004425C9" w:rsidRPr="000668CD" w:rsidRDefault="004425C9" w:rsidP="00BC5C2B">
            <w:pPr>
              <w:jc w:val="center"/>
              <w:rPr>
                <w:sz w:val="16"/>
                <w:szCs w:val="16"/>
              </w:rPr>
            </w:pPr>
            <w:r w:rsidRPr="000668CD">
              <w:rPr>
                <w:sz w:val="16"/>
                <w:szCs w:val="16"/>
              </w:rPr>
              <w:t>*</w:t>
            </w:r>
          </w:p>
        </w:tc>
        <w:tc>
          <w:tcPr>
            <w:tcW w:w="3185" w:type="dxa"/>
            <w:tcBorders>
              <w:bottom w:val="single" w:sz="4" w:space="0" w:color="auto"/>
            </w:tcBorders>
            <w:vAlign w:val="center"/>
          </w:tcPr>
          <w:p w:rsidR="004425C9" w:rsidRPr="000668CD" w:rsidRDefault="004425C9" w:rsidP="00BC5C2B">
            <w:pPr>
              <w:jc w:val="left"/>
              <w:rPr>
                <w:sz w:val="16"/>
                <w:szCs w:val="16"/>
              </w:rPr>
            </w:pPr>
            <w:r>
              <w:rPr>
                <w:sz w:val="16"/>
                <w:szCs w:val="16"/>
              </w:rPr>
              <w:t>Number of pipes/cables</w:t>
            </w:r>
          </w:p>
        </w:tc>
        <w:tc>
          <w:tcPr>
            <w:tcW w:w="3969" w:type="dxa"/>
            <w:tcBorders>
              <w:bottom w:val="single" w:sz="4" w:space="0" w:color="auto"/>
            </w:tcBorders>
            <w:vAlign w:val="center"/>
          </w:tcPr>
          <w:p w:rsidR="004425C9" w:rsidRPr="000668CD" w:rsidRDefault="004425C9" w:rsidP="00BC5C2B">
            <w:pPr>
              <w:jc w:val="left"/>
              <w:rPr>
                <w:sz w:val="16"/>
                <w:szCs w:val="16"/>
              </w:rPr>
            </w:pPr>
            <w:r>
              <w:rPr>
                <w:sz w:val="16"/>
                <w:szCs w:val="16"/>
              </w:rPr>
              <w:t>At least one sewage pipeline, but no telecoms cables, cross the estuary</w:t>
            </w:r>
          </w:p>
        </w:tc>
        <w:tc>
          <w:tcPr>
            <w:tcW w:w="1962" w:type="dxa"/>
            <w:tcBorders>
              <w:bottom w:val="single" w:sz="4" w:space="0" w:color="auto"/>
            </w:tcBorders>
            <w:vAlign w:val="center"/>
          </w:tcPr>
          <w:p w:rsidR="004425C9" w:rsidRPr="00CE258D" w:rsidRDefault="004425C9" w:rsidP="00BC5C2B">
            <w:pPr>
              <w:jc w:val="left"/>
              <w:rPr>
                <w:sz w:val="16"/>
                <w:szCs w:val="16"/>
              </w:rPr>
            </w:pPr>
            <w:proofErr w:type="spellStart"/>
            <w:r w:rsidRPr="00CE258D">
              <w:rPr>
                <w:i/>
                <w:sz w:val="16"/>
                <w:szCs w:val="16"/>
              </w:rPr>
              <w:t>pers</w:t>
            </w:r>
            <w:proofErr w:type="spellEnd"/>
            <w:r w:rsidRPr="00CE258D">
              <w:rPr>
                <w:i/>
                <w:sz w:val="16"/>
                <w:szCs w:val="16"/>
              </w:rPr>
              <w:t xml:space="preserve"> comm.</w:t>
            </w:r>
            <w:r w:rsidRPr="00CE258D">
              <w:rPr>
                <w:sz w:val="16"/>
                <w:szCs w:val="16"/>
              </w:rPr>
              <w:t>(utility companies)</w:t>
            </w:r>
          </w:p>
        </w:tc>
        <w:tc>
          <w:tcPr>
            <w:tcW w:w="1134" w:type="dxa"/>
            <w:tcBorders>
              <w:bottom w:val="single" w:sz="4" w:space="0" w:color="auto"/>
            </w:tcBorders>
            <w:vAlign w:val="center"/>
          </w:tcPr>
          <w:p w:rsidR="004425C9" w:rsidRDefault="004425C9" w:rsidP="00BC5C2B">
            <w:pPr>
              <w:jc w:val="left"/>
              <w:rPr>
                <w:sz w:val="16"/>
                <w:szCs w:val="16"/>
              </w:rPr>
            </w:pPr>
            <w:r>
              <w:rPr>
                <w:sz w:val="16"/>
                <w:szCs w:val="16"/>
              </w:rPr>
              <w:t>Moderate</w:t>
            </w:r>
          </w:p>
        </w:tc>
        <w:tc>
          <w:tcPr>
            <w:tcW w:w="1060" w:type="dxa"/>
            <w:tcBorders>
              <w:bottom w:val="single" w:sz="4" w:space="0" w:color="auto"/>
            </w:tcBorders>
            <w:vAlign w:val="center"/>
          </w:tcPr>
          <w:p w:rsidR="004425C9" w:rsidRPr="000668CD" w:rsidRDefault="004425C9" w:rsidP="00BC5C2B">
            <w:pPr>
              <w:jc w:val="center"/>
              <w:rPr>
                <w:sz w:val="16"/>
                <w:szCs w:val="16"/>
              </w:rPr>
            </w:pPr>
            <w:r w:rsidRPr="000668CD">
              <w:rPr>
                <w:sz w:val="16"/>
                <w:szCs w:val="16"/>
              </w:rPr>
              <w:t>0</w:t>
            </w:r>
          </w:p>
        </w:tc>
      </w:tr>
      <w:tr w:rsidR="004425C9" w:rsidRPr="000668CD" w:rsidTr="00BC5C2B">
        <w:trPr>
          <w:trHeight w:val="227"/>
          <w:jc w:val="center"/>
        </w:trPr>
        <w:tc>
          <w:tcPr>
            <w:tcW w:w="1871" w:type="dxa"/>
            <w:tcBorders>
              <w:top w:val="single" w:sz="8" w:space="0" w:color="auto"/>
            </w:tcBorders>
            <w:shd w:val="clear" w:color="auto" w:fill="auto"/>
            <w:vAlign w:val="center"/>
          </w:tcPr>
          <w:p w:rsidR="004425C9" w:rsidRPr="00E91289" w:rsidRDefault="004425C9" w:rsidP="00BC5C2B">
            <w:pPr>
              <w:jc w:val="left"/>
              <w:rPr>
                <w:i/>
                <w:sz w:val="16"/>
                <w:szCs w:val="16"/>
              </w:rPr>
            </w:pPr>
            <w:r w:rsidRPr="00E91289">
              <w:rPr>
                <w:i/>
                <w:sz w:val="16"/>
                <w:szCs w:val="16"/>
              </w:rPr>
              <w:t>Recreation &amp; tourism</w:t>
            </w:r>
          </w:p>
        </w:tc>
        <w:tc>
          <w:tcPr>
            <w:tcW w:w="1020" w:type="dxa"/>
            <w:tcBorders>
              <w:top w:val="single" w:sz="8" w:space="0" w:color="auto"/>
            </w:tcBorders>
            <w:vAlign w:val="center"/>
          </w:tcPr>
          <w:p w:rsidR="004425C9" w:rsidRPr="000668CD" w:rsidRDefault="004425C9" w:rsidP="00BC5C2B">
            <w:pPr>
              <w:jc w:val="center"/>
              <w:rPr>
                <w:bCs/>
                <w:sz w:val="16"/>
                <w:szCs w:val="16"/>
              </w:rPr>
            </w:pPr>
          </w:p>
        </w:tc>
        <w:tc>
          <w:tcPr>
            <w:tcW w:w="3185" w:type="dxa"/>
            <w:tcBorders>
              <w:top w:val="single" w:sz="8" w:space="0" w:color="auto"/>
            </w:tcBorders>
            <w:vAlign w:val="center"/>
          </w:tcPr>
          <w:p w:rsidR="004425C9" w:rsidRPr="000668CD" w:rsidRDefault="004425C9" w:rsidP="00BC5C2B">
            <w:pPr>
              <w:jc w:val="left"/>
              <w:rPr>
                <w:sz w:val="16"/>
                <w:szCs w:val="16"/>
              </w:rPr>
            </w:pPr>
          </w:p>
        </w:tc>
        <w:tc>
          <w:tcPr>
            <w:tcW w:w="3969" w:type="dxa"/>
            <w:tcBorders>
              <w:top w:val="single" w:sz="8" w:space="0" w:color="auto"/>
            </w:tcBorders>
            <w:vAlign w:val="center"/>
          </w:tcPr>
          <w:p w:rsidR="004425C9" w:rsidRPr="000668CD" w:rsidRDefault="004425C9" w:rsidP="00BC5C2B">
            <w:pPr>
              <w:jc w:val="left"/>
              <w:rPr>
                <w:sz w:val="16"/>
                <w:szCs w:val="16"/>
              </w:rPr>
            </w:pPr>
          </w:p>
        </w:tc>
        <w:tc>
          <w:tcPr>
            <w:tcW w:w="1962" w:type="dxa"/>
            <w:tcBorders>
              <w:top w:val="single" w:sz="8" w:space="0" w:color="auto"/>
            </w:tcBorders>
            <w:vAlign w:val="center"/>
          </w:tcPr>
          <w:p w:rsidR="004425C9" w:rsidRPr="00CE258D" w:rsidRDefault="004425C9" w:rsidP="00BC5C2B">
            <w:pPr>
              <w:jc w:val="left"/>
              <w:rPr>
                <w:sz w:val="16"/>
                <w:szCs w:val="16"/>
              </w:rPr>
            </w:pPr>
          </w:p>
        </w:tc>
        <w:tc>
          <w:tcPr>
            <w:tcW w:w="1134" w:type="dxa"/>
            <w:tcBorders>
              <w:top w:val="single" w:sz="8" w:space="0" w:color="auto"/>
            </w:tcBorders>
          </w:tcPr>
          <w:p w:rsidR="004425C9" w:rsidRPr="000668CD" w:rsidRDefault="004425C9" w:rsidP="00BC5C2B">
            <w:pPr>
              <w:jc w:val="left"/>
              <w:rPr>
                <w:sz w:val="16"/>
                <w:szCs w:val="16"/>
              </w:rPr>
            </w:pPr>
          </w:p>
        </w:tc>
        <w:tc>
          <w:tcPr>
            <w:tcW w:w="1060" w:type="dxa"/>
            <w:tcBorders>
              <w:top w:val="single" w:sz="8" w:space="0" w:color="auto"/>
            </w:tcBorders>
            <w:vAlign w:val="center"/>
          </w:tcPr>
          <w:p w:rsidR="004425C9" w:rsidRPr="000668CD" w:rsidRDefault="004425C9" w:rsidP="00BC5C2B">
            <w:pPr>
              <w:jc w:val="center"/>
              <w:rPr>
                <w:sz w:val="16"/>
                <w:szCs w:val="16"/>
              </w:rPr>
            </w:pPr>
          </w:p>
        </w:tc>
      </w:tr>
      <w:tr w:rsidR="004425C9" w:rsidRPr="000668CD" w:rsidTr="00BC5C2B">
        <w:trPr>
          <w:trHeight w:val="283"/>
          <w:jc w:val="center"/>
        </w:trPr>
        <w:tc>
          <w:tcPr>
            <w:tcW w:w="1871" w:type="dxa"/>
            <w:shd w:val="clear" w:color="auto" w:fill="auto"/>
            <w:vAlign w:val="center"/>
          </w:tcPr>
          <w:p w:rsidR="004425C9" w:rsidRPr="000668CD" w:rsidRDefault="004425C9" w:rsidP="00BC5C2B">
            <w:pPr>
              <w:jc w:val="left"/>
              <w:rPr>
                <w:sz w:val="16"/>
                <w:szCs w:val="16"/>
              </w:rPr>
            </w:pPr>
            <w:r w:rsidRPr="000668CD">
              <w:rPr>
                <w:sz w:val="16"/>
                <w:szCs w:val="16"/>
              </w:rPr>
              <w:t>Sea angling</w:t>
            </w:r>
          </w:p>
        </w:tc>
        <w:tc>
          <w:tcPr>
            <w:tcW w:w="1020" w:type="dxa"/>
            <w:vAlign w:val="center"/>
          </w:tcPr>
          <w:p w:rsidR="004425C9" w:rsidRPr="000668CD" w:rsidRDefault="004425C9" w:rsidP="00BC5C2B">
            <w:pPr>
              <w:jc w:val="center"/>
              <w:rPr>
                <w:bCs/>
                <w:sz w:val="16"/>
                <w:szCs w:val="16"/>
              </w:rPr>
            </w:pPr>
            <w:r w:rsidRPr="000668CD">
              <w:rPr>
                <w:bCs/>
                <w:sz w:val="16"/>
                <w:szCs w:val="16"/>
              </w:rPr>
              <w:t>***</w:t>
            </w:r>
          </w:p>
        </w:tc>
        <w:tc>
          <w:tcPr>
            <w:tcW w:w="3185" w:type="dxa"/>
            <w:vMerge w:val="restart"/>
            <w:vAlign w:val="center"/>
          </w:tcPr>
          <w:p w:rsidR="004425C9" w:rsidRPr="000668CD" w:rsidRDefault="004425C9" w:rsidP="00BC5C2B">
            <w:pPr>
              <w:jc w:val="left"/>
              <w:rPr>
                <w:sz w:val="16"/>
                <w:szCs w:val="16"/>
              </w:rPr>
            </w:pPr>
            <w:r>
              <w:rPr>
                <w:sz w:val="16"/>
                <w:szCs w:val="16"/>
              </w:rPr>
              <w:t xml:space="preserve">Number of participants  </w:t>
            </w:r>
          </w:p>
        </w:tc>
        <w:tc>
          <w:tcPr>
            <w:tcW w:w="3969" w:type="dxa"/>
            <w:vAlign w:val="center"/>
          </w:tcPr>
          <w:p w:rsidR="004425C9" w:rsidRPr="000668CD" w:rsidRDefault="004425C9" w:rsidP="00BC5C2B">
            <w:pPr>
              <w:jc w:val="left"/>
              <w:rPr>
                <w:sz w:val="16"/>
                <w:szCs w:val="16"/>
              </w:rPr>
            </w:pPr>
            <w:r>
              <w:rPr>
                <w:sz w:val="16"/>
                <w:szCs w:val="16"/>
              </w:rPr>
              <w:t>4 clubs, 550 members</w:t>
            </w:r>
          </w:p>
        </w:tc>
        <w:tc>
          <w:tcPr>
            <w:tcW w:w="1962" w:type="dxa"/>
            <w:vMerge w:val="restart"/>
            <w:vAlign w:val="center"/>
          </w:tcPr>
          <w:p w:rsidR="004425C9" w:rsidRDefault="004425C9" w:rsidP="00BC5C2B">
            <w:pPr>
              <w:jc w:val="left"/>
              <w:rPr>
                <w:sz w:val="16"/>
                <w:szCs w:val="16"/>
              </w:rPr>
            </w:pPr>
            <w:proofErr w:type="spellStart"/>
            <w:r w:rsidRPr="00CE258D">
              <w:rPr>
                <w:i/>
                <w:sz w:val="16"/>
                <w:szCs w:val="16"/>
              </w:rPr>
              <w:t>pers</w:t>
            </w:r>
            <w:proofErr w:type="spellEnd"/>
            <w:r w:rsidRPr="00CE258D">
              <w:rPr>
                <w:i/>
                <w:sz w:val="16"/>
                <w:szCs w:val="16"/>
              </w:rPr>
              <w:t xml:space="preserve"> comm.</w:t>
            </w:r>
            <w:r w:rsidRPr="00CE258D">
              <w:rPr>
                <w:sz w:val="16"/>
                <w:szCs w:val="16"/>
              </w:rPr>
              <w:t>(recreation clubs)</w:t>
            </w:r>
          </w:p>
          <w:p w:rsidR="004425C9" w:rsidRPr="00CE258D" w:rsidRDefault="004425C9" w:rsidP="00BC5C2B">
            <w:pPr>
              <w:jc w:val="left"/>
              <w:rPr>
                <w:sz w:val="16"/>
                <w:szCs w:val="16"/>
              </w:rPr>
            </w:pPr>
            <w:proofErr w:type="spellStart"/>
            <w:r>
              <w:rPr>
                <w:sz w:val="16"/>
                <w:szCs w:val="16"/>
              </w:rPr>
              <w:t>Abell</w:t>
            </w:r>
            <w:proofErr w:type="spellEnd"/>
            <w:r>
              <w:rPr>
                <w:sz w:val="16"/>
                <w:szCs w:val="16"/>
              </w:rPr>
              <w:t xml:space="preserve"> and </w:t>
            </w:r>
            <w:proofErr w:type="spellStart"/>
            <w:r>
              <w:rPr>
                <w:sz w:val="16"/>
                <w:szCs w:val="16"/>
              </w:rPr>
              <w:t>Bromham</w:t>
            </w:r>
            <w:proofErr w:type="spellEnd"/>
            <w:r>
              <w:rPr>
                <w:sz w:val="16"/>
                <w:szCs w:val="16"/>
              </w:rPr>
              <w:t>, 2009</w:t>
            </w:r>
          </w:p>
        </w:tc>
        <w:tc>
          <w:tcPr>
            <w:tcW w:w="1134" w:type="dxa"/>
            <w:vAlign w:val="center"/>
          </w:tcPr>
          <w:p w:rsidR="004425C9" w:rsidRDefault="004425C9" w:rsidP="00BC5C2B">
            <w:pPr>
              <w:jc w:val="left"/>
              <w:rPr>
                <w:sz w:val="16"/>
                <w:szCs w:val="16"/>
              </w:rPr>
            </w:pPr>
            <w:r>
              <w:rPr>
                <w:sz w:val="16"/>
                <w:szCs w:val="16"/>
              </w:rPr>
              <w:t>Poor</w:t>
            </w:r>
          </w:p>
        </w:tc>
        <w:tc>
          <w:tcPr>
            <w:tcW w:w="1060" w:type="dxa"/>
            <w:vAlign w:val="center"/>
          </w:tcPr>
          <w:p w:rsidR="004425C9" w:rsidRPr="000668CD" w:rsidRDefault="004425C9" w:rsidP="00BC5C2B">
            <w:pPr>
              <w:jc w:val="center"/>
              <w:rPr>
                <w:sz w:val="16"/>
                <w:szCs w:val="16"/>
              </w:rPr>
            </w:pPr>
            <w:r w:rsidRPr="000668CD">
              <w:rPr>
                <w:sz w:val="16"/>
                <w:szCs w:val="16"/>
              </w:rPr>
              <w:t>–  –  –</w:t>
            </w:r>
          </w:p>
        </w:tc>
      </w:tr>
      <w:tr w:rsidR="004425C9" w:rsidRPr="000668CD" w:rsidTr="00BC5C2B">
        <w:trPr>
          <w:trHeight w:val="283"/>
          <w:jc w:val="center"/>
        </w:trPr>
        <w:tc>
          <w:tcPr>
            <w:tcW w:w="1871" w:type="dxa"/>
            <w:shd w:val="clear" w:color="auto" w:fill="auto"/>
            <w:vAlign w:val="center"/>
          </w:tcPr>
          <w:p w:rsidR="004425C9" w:rsidRPr="000668CD" w:rsidRDefault="004425C9" w:rsidP="00BC5C2B">
            <w:pPr>
              <w:jc w:val="left"/>
              <w:rPr>
                <w:sz w:val="16"/>
                <w:szCs w:val="16"/>
              </w:rPr>
            </w:pPr>
            <w:r w:rsidRPr="000668CD">
              <w:rPr>
                <w:sz w:val="16"/>
                <w:szCs w:val="16"/>
              </w:rPr>
              <w:t>Wildfowling</w:t>
            </w:r>
          </w:p>
        </w:tc>
        <w:tc>
          <w:tcPr>
            <w:tcW w:w="1020" w:type="dxa"/>
            <w:vAlign w:val="center"/>
          </w:tcPr>
          <w:p w:rsidR="004425C9" w:rsidRPr="000668CD" w:rsidRDefault="004425C9" w:rsidP="00BC5C2B">
            <w:pPr>
              <w:jc w:val="center"/>
              <w:rPr>
                <w:bCs/>
                <w:sz w:val="16"/>
                <w:szCs w:val="16"/>
              </w:rPr>
            </w:pPr>
            <w:r w:rsidRPr="000668CD">
              <w:rPr>
                <w:bCs/>
                <w:sz w:val="16"/>
                <w:szCs w:val="16"/>
              </w:rPr>
              <w:t>*</w:t>
            </w:r>
          </w:p>
        </w:tc>
        <w:tc>
          <w:tcPr>
            <w:tcW w:w="3185" w:type="dxa"/>
            <w:vMerge/>
            <w:vAlign w:val="center"/>
          </w:tcPr>
          <w:p w:rsidR="004425C9" w:rsidRPr="000668CD" w:rsidRDefault="004425C9" w:rsidP="00BC5C2B">
            <w:pPr>
              <w:jc w:val="left"/>
              <w:rPr>
                <w:sz w:val="16"/>
                <w:szCs w:val="16"/>
              </w:rPr>
            </w:pPr>
          </w:p>
        </w:tc>
        <w:tc>
          <w:tcPr>
            <w:tcW w:w="3969" w:type="dxa"/>
            <w:vAlign w:val="center"/>
          </w:tcPr>
          <w:p w:rsidR="004425C9" w:rsidRPr="000668CD" w:rsidRDefault="004425C9" w:rsidP="00BC5C2B">
            <w:pPr>
              <w:jc w:val="left"/>
              <w:rPr>
                <w:sz w:val="16"/>
                <w:szCs w:val="16"/>
              </w:rPr>
            </w:pPr>
            <w:r>
              <w:rPr>
                <w:sz w:val="16"/>
                <w:szCs w:val="16"/>
              </w:rPr>
              <w:t>1 club, 75 members</w:t>
            </w:r>
          </w:p>
        </w:tc>
        <w:tc>
          <w:tcPr>
            <w:tcW w:w="1962" w:type="dxa"/>
            <w:vMerge/>
            <w:vAlign w:val="center"/>
          </w:tcPr>
          <w:p w:rsidR="004425C9" w:rsidRPr="00CE258D" w:rsidRDefault="004425C9" w:rsidP="00BC5C2B">
            <w:pPr>
              <w:jc w:val="left"/>
              <w:rPr>
                <w:sz w:val="16"/>
                <w:szCs w:val="16"/>
              </w:rPr>
            </w:pPr>
          </w:p>
        </w:tc>
        <w:tc>
          <w:tcPr>
            <w:tcW w:w="1134" w:type="dxa"/>
            <w:vAlign w:val="center"/>
          </w:tcPr>
          <w:p w:rsidR="004425C9" w:rsidRDefault="004425C9" w:rsidP="00BC5C2B">
            <w:pPr>
              <w:jc w:val="left"/>
              <w:rPr>
                <w:sz w:val="16"/>
                <w:szCs w:val="16"/>
              </w:rPr>
            </w:pPr>
            <w:r>
              <w:rPr>
                <w:sz w:val="16"/>
                <w:szCs w:val="16"/>
              </w:rPr>
              <w:t>Poor</w:t>
            </w:r>
          </w:p>
        </w:tc>
        <w:tc>
          <w:tcPr>
            <w:tcW w:w="1060" w:type="dxa"/>
            <w:vAlign w:val="center"/>
          </w:tcPr>
          <w:p w:rsidR="004425C9" w:rsidRPr="000668CD" w:rsidRDefault="004425C9" w:rsidP="00BC5C2B">
            <w:pPr>
              <w:jc w:val="center"/>
              <w:rPr>
                <w:sz w:val="16"/>
                <w:szCs w:val="16"/>
              </w:rPr>
            </w:pPr>
            <w:r w:rsidRPr="000668CD">
              <w:rPr>
                <w:sz w:val="16"/>
                <w:szCs w:val="16"/>
              </w:rPr>
              <w:t>–  –  –</w:t>
            </w:r>
          </w:p>
        </w:tc>
      </w:tr>
      <w:tr w:rsidR="004425C9" w:rsidRPr="000668CD" w:rsidTr="00BC5C2B">
        <w:trPr>
          <w:trHeight w:val="283"/>
          <w:jc w:val="center"/>
        </w:trPr>
        <w:tc>
          <w:tcPr>
            <w:tcW w:w="1871" w:type="dxa"/>
            <w:shd w:val="clear" w:color="auto" w:fill="auto"/>
            <w:vAlign w:val="center"/>
          </w:tcPr>
          <w:p w:rsidR="004425C9" w:rsidRPr="000668CD" w:rsidRDefault="004425C9" w:rsidP="00BC5C2B">
            <w:pPr>
              <w:jc w:val="left"/>
              <w:rPr>
                <w:sz w:val="16"/>
                <w:szCs w:val="16"/>
              </w:rPr>
            </w:pPr>
            <w:proofErr w:type="spellStart"/>
            <w:r w:rsidRPr="000668CD">
              <w:rPr>
                <w:sz w:val="16"/>
                <w:szCs w:val="16"/>
              </w:rPr>
              <w:t>Watersports</w:t>
            </w:r>
            <w:proofErr w:type="spellEnd"/>
          </w:p>
        </w:tc>
        <w:tc>
          <w:tcPr>
            <w:tcW w:w="1020" w:type="dxa"/>
            <w:vAlign w:val="center"/>
          </w:tcPr>
          <w:p w:rsidR="004425C9" w:rsidRPr="000668CD" w:rsidRDefault="004425C9" w:rsidP="00BC5C2B">
            <w:pPr>
              <w:jc w:val="center"/>
              <w:rPr>
                <w:sz w:val="16"/>
                <w:szCs w:val="16"/>
              </w:rPr>
            </w:pPr>
            <w:r w:rsidRPr="000668CD">
              <w:rPr>
                <w:sz w:val="16"/>
                <w:szCs w:val="16"/>
              </w:rPr>
              <w:t>***</w:t>
            </w:r>
          </w:p>
        </w:tc>
        <w:tc>
          <w:tcPr>
            <w:tcW w:w="3185" w:type="dxa"/>
            <w:vMerge/>
            <w:vAlign w:val="center"/>
          </w:tcPr>
          <w:p w:rsidR="004425C9" w:rsidRPr="000668CD" w:rsidRDefault="004425C9" w:rsidP="00BC5C2B">
            <w:pPr>
              <w:jc w:val="left"/>
              <w:rPr>
                <w:sz w:val="16"/>
                <w:szCs w:val="16"/>
              </w:rPr>
            </w:pPr>
          </w:p>
        </w:tc>
        <w:tc>
          <w:tcPr>
            <w:tcW w:w="3969" w:type="dxa"/>
            <w:vAlign w:val="center"/>
          </w:tcPr>
          <w:p w:rsidR="004425C9" w:rsidRPr="000668CD" w:rsidRDefault="004425C9" w:rsidP="00BC5C2B">
            <w:pPr>
              <w:jc w:val="left"/>
              <w:rPr>
                <w:sz w:val="16"/>
                <w:szCs w:val="16"/>
              </w:rPr>
            </w:pPr>
            <w:r>
              <w:rPr>
                <w:sz w:val="16"/>
                <w:szCs w:val="16"/>
              </w:rPr>
              <w:t xml:space="preserve">8 clubs, 880 members; 149,000 visitors in 2008 attracted, at least in part, by </w:t>
            </w:r>
            <w:proofErr w:type="spellStart"/>
            <w:r>
              <w:rPr>
                <w:sz w:val="16"/>
                <w:szCs w:val="16"/>
              </w:rPr>
              <w:t>watersports</w:t>
            </w:r>
            <w:proofErr w:type="spellEnd"/>
          </w:p>
        </w:tc>
        <w:tc>
          <w:tcPr>
            <w:tcW w:w="1962" w:type="dxa"/>
            <w:vMerge/>
            <w:vAlign w:val="center"/>
          </w:tcPr>
          <w:p w:rsidR="004425C9" w:rsidRPr="00CE258D" w:rsidRDefault="004425C9" w:rsidP="00BC5C2B">
            <w:pPr>
              <w:jc w:val="left"/>
              <w:rPr>
                <w:sz w:val="16"/>
                <w:szCs w:val="16"/>
              </w:rPr>
            </w:pPr>
          </w:p>
        </w:tc>
        <w:tc>
          <w:tcPr>
            <w:tcW w:w="1134" w:type="dxa"/>
            <w:vAlign w:val="center"/>
          </w:tcPr>
          <w:p w:rsidR="004425C9" w:rsidRDefault="004425C9" w:rsidP="00BC5C2B">
            <w:pPr>
              <w:jc w:val="left"/>
              <w:rPr>
                <w:sz w:val="16"/>
                <w:szCs w:val="16"/>
              </w:rPr>
            </w:pPr>
            <w:r>
              <w:rPr>
                <w:sz w:val="16"/>
                <w:szCs w:val="16"/>
              </w:rPr>
              <w:t>Poor</w:t>
            </w:r>
          </w:p>
        </w:tc>
        <w:tc>
          <w:tcPr>
            <w:tcW w:w="1060" w:type="dxa"/>
            <w:vAlign w:val="center"/>
          </w:tcPr>
          <w:p w:rsidR="004425C9" w:rsidRPr="000668CD" w:rsidRDefault="004425C9" w:rsidP="00BC5C2B">
            <w:pPr>
              <w:jc w:val="center"/>
              <w:rPr>
                <w:sz w:val="16"/>
                <w:szCs w:val="16"/>
              </w:rPr>
            </w:pPr>
            <w:r w:rsidRPr="000668CD">
              <w:rPr>
                <w:sz w:val="16"/>
                <w:szCs w:val="16"/>
              </w:rPr>
              <w:t>+ + +</w:t>
            </w:r>
            <w:r w:rsidRPr="00E1543A">
              <w:rPr>
                <w:sz w:val="18"/>
                <w:szCs w:val="18"/>
                <w:vertAlign w:val="superscript"/>
              </w:rPr>
              <w:t>1</w:t>
            </w:r>
            <w:r>
              <w:rPr>
                <w:sz w:val="16"/>
                <w:szCs w:val="16"/>
              </w:rPr>
              <w:t xml:space="preserve"> / </w:t>
            </w:r>
            <w:r w:rsidRPr="000668CD">
              <w:rPr>
                <w:sz w:val="16"/>
                <w:szCs w:val="16"/>
              </w:rPr>
              <w:t>–  –</w:t>
            </w:r>
            <w:r w:rsidRPr="00E1543A">
              <w:rPr>
                <w:sz w:val="18"/>
                <w:szCs w:val="18"/>
                <w:vertAlign w:val="superscript"/>
              </w:rPr>
              <w:t>2</w:t>
            </w:r>
          </w:p>
        </w:tc>
      </w:tr>
      <w:tr w:rsidR="004425C9" w:rsidRPr="000668CD" w:rsidTr="00BC5C2B">
        <w:trPr>
          <w:trHeight w:val="283"/>
          <w:jc w:val="center"/>
        </w:trPr>
        <w:tc>
          <w:tcPr>
            <w:tcW w:w="1871" w:type="dxa"/>
            <w:shd w:val="clear" w:color="auto" w:fill="auto"/>
            <w:vAlign w:val="center"/>
          </w:tcPr>
          <w:p w:rsidR="004425C9" w:rsidRPr="000668CD" w:rsidRDefault="004425C9" w:rsidP="00BC5C2B">
            <w:pPr>
              <w:jc w:val="left"/>
              <w:rPr>
                <w:sz w:val="16"/>
                <w:szCs w:val="16"/>
              </w:rPr>
            </w:pPr>
            <w:r w:rsidRPr="000668CD">
              <w:rPr>
                <w:sz w:val="16"/>
                <w:szCs w:val="16"/>
              </w:rPr>
              <w:t xml:space="preserve">Nature watching </w:t>
            </w:r>
          </w:p>
        </w:tc>
        <w:tc>
          <w:tcPr>
            <w:tcW w:w="1020" w:type="dxa"/>
            <w:vAlign w:val="center"/>
          </w:tcPr>
          <w:p w:rsidR="004425C9" w:rsidRPr="000668CD" w:rsidRDefault="004425C9" w:rsidP="00BC5C2B">
            <w:pPr>
              <w:jc w:val="center"/>
              <w:rPr>
                <w:sz w:val="16"/>
                <w:szCs w:val="16"/>
              </w:rPr>
            </w:pPr>
            <w:r w:rsidRPr="000668CD">
              <w:rPr>
                <w:sz w:val="16"/>
                <w:szCs w:val="16"/>
              </w:rPr>
              <w:t>***</w:t>
            </w:r>
          </w:p>
        </w:tc>
        <w:tc>
          <w:tcPr>
            <w:tcW w:w="3185" w:type="dxa"/>
            <w:vMerge/>
            <w:vAlign w:val="center"/>
          </w:tcPr>
          <w:p w:rsidR="004425C9" w:rsidRPr="000668CD" w:rsidRDefault="004425C9" w:rsidP="00BC5C2B">
            <w:pPr>
              <w:jc w:val="left"/>
              <w:rPr>
                <w:sz w:val="16"/>
                <w:szCs w:val="16"/>
              </w:rPr>
            </w:pPr>
          </w:p>
        </w:tc>
        <w:tc>
          <w:tcPr>
            <w:tcW w:w="3969" w:type="dxa"/>
            <w:vAlign w:val="center"/>
          </w:tcPr>
          <w:p w:rsidR="004425C9" w:rsidRPr="000668CD" w:rsidRDefault="004425C9" w:rsidP="00BC5C2B">
            <w:pPr>
              <w:jc w:val="left"/>
              <w:rPr>
                <w:sz w:val="16"/>
                <w:szCs w:val="16"/>
              </w:rPr>
            </w:pPr>
            <w:r>
              <w:rPr>
                <w:sz w:val="16"/>
                <w:szCs w:val="16"/>
              </w:rPr>
              <w:t>Unknown</w:t>
            </w:r>
          </w:p>
        </w:tc>
        <w:tc>
          <w:tcPr>
            <w:tcW w:w="1962" w:type="dxa"/>
            <w:vAlign w:val="center"/>
          </w:tcPr>
          <w:p w:rsidR="004425C9" w:rsidRPr="00CE258D" w:rsidRDefault="004425C9" w:rsidP="00BC5C2B">
            <w:pPr>
              <w:jc w:val="left"/>
              <w:rPr>
                <w:sz w:val="16"/>
                <w:szCs w:val="16"/>
              </w:rPr>
            </w:pPr>
          </w:p>
        </w:tc>
        <w:tc>
          <w:tcPr>
            <w:tcW w:w="1134" w:type="dxa"/>
            <w:vAlign w:val="center"/>
          </w:tcPr>
          <w:p w:rsidR="004425C9" w:rsidRDefault="004425C9" w:rsidP="00BC5C2B">
            <w:pPr>
              <w:jc w:val="left"/>
              <w:rPr>
                <w:sz w:val="16"/>
                <w:szCs w:val="16"/>
              </w:rPr>
            </w:pPr>
            <w:r>
              <w:rPr>
                <w:sz w:val="16"/>
                <w:szCs w:val="16"/>
              </w:rPr>
              <w:t>Poor</w:t>
            </w:r>
          </w:p>
        </w:tc>
        <w:tc>
          <w:tcPr>
            <w:tcW w:w="1060" w:type="dxa"/>
            <w:vAlign w:val="center"/>
          </w:tcPr>
          <w:p w:rsidR="004425C9" w:rsidRPr="000668CD" w:rsidRDefault="004425C9" w:rsidP="00BC5C2B">
            <w:pPr>
              <w:jc w:val="center"/>
              <w:rPr>
                <w:sz w:val="16"/>
                <w:szCs w:val="16"/>
              </w:rPr>
            </w:pPr>
            <w:r w:rsidRPr="000668CD">
              <w:rPr>
                <w:sz w:val="16"/>
                <w:szCs w:val="16"/>
              </w:rPr>
              <w:t>–  –  –</w:t>
            </w:r>
          </w:p>
        </w:tc>
      </w:tr>
      <w:tr w:rsidR="004425C9" w:rsidRPr="000668CD" w:rsidTr="00BC5C2B">
        <w:trPr>
          <w:trHeight w:val="283"/>
          <w:jc w:val="center"/>
        </w:trPr>
        <w:tc>
          <w:tcPr>
            <w:tcW w:w="1871" w:type="dxa"/>
            <w:shd w:val="clear" w:color="auto" w:fill="auto"/>
            <w:vAlign w:val="center"/>
          </w:tcPr>
          <w:p w:rsidR="004425C9" w:rsidRPr="000668CD" w:rsidRDefault="004425C9" w:rsidP="00BC5C2B">
            <w:pPr>
              <w:jc w:val="left"/>
              <w:rPr>
                <w:sz w:val="16"/>
                <w:szCs w:val="16"/>
              </w:rPr>
            </w:pPr>
            <w:r w:rsidRPr="000668CD">
              <w:rPr>
                <w:sz w:val="16"/>
                <w:szCs w:val="16"/>
              </w:rPr>
              <w:t>Swimming</w:t>
            </w:r>
          </w:p>
        </w:tc>
        <w:tc>
          <w:tcPr>
            <w:tcW w:w="1020" w:type="dxa"/>
            <w:vAlign w:val="center"/>
          </w:tcPr>
          <w:p w:rsidR="004425C9" w:rsidRPr="000668CD" w:rsidRDefault="004425C9" w:rsidP="00BC5C2B">
            <w:pPr>
              <w:jc w:val="center"/>
              <w:rPr>
                <w:sz w:val="16"/>
                <w:szCs w:val="16"/>
              </w:rPr>
            </w:pPr>
            <w:r w:rsidRPr="000668CD">
              <w:rPr>
                <w:sz w:val="16"/>
                <w:szCs w:val="16"/>
              </w:rPr>
              <w:t>**</w:t>
            </w:r>
          </w:p>
        </w:tc>
        <w:tc>
          <w:tcPr>
            <w:tcW w:w="3185" w:type="dxa"/>
            <w:vMerge/>
            <w:vAlign w:val="center"/>
          </w:tcPr>
          <w:p w:rsidR="004425C9" w:rsidRPr="000668CD" w:rsidRDefault="004425C9" w:rsidP="00BC5C2B">
            <w:pPr>
              <w:jc w:val="left"/>
              <w:rPr>
                <w:sz w:val="16"/>
                <w:szCs w:val="16"/>
              </w:rPr>
            </w:pPr>
          </w:p>
        </w:tc>
        <w:tc>
          <w:tcPr>
            <w:tcW w:w="3969" w:type="dxa"/>
            <w:vAlign w:val="center"/>
          </w:tcPr>
          <w:p w:rsidR="004425C9" w:rsidRPr="000668CD" w:rsidRDefault="004425C9" w:rsidP="00BC5C2B">
            <w:pPr>
              <w:jc w:val="left"/>
              <w:rPr>
                <w:sz w:val="16"/>
                <w:szCs w:val="16"/>
              </w:rPr>
            </w:pPr>
            <w:r>
              <w:rPr>
                <w:sz w:val="16"/>
                <w:szCs w:val="16"/>
              </w:rPr>
              <w:t>Unknown</w:t>
            </w:r>
          </w:p>
        </w:tc>
        <w:tc>
          <w:tcPr>
            <w:tcW w:w="1962" w:type="dxa"/>
            <w:vAlign w:val="center"/>
          </w:tcPr>
          <w:p w:rsidR="004425C9" w:rsidRPr="00CE258D" w:rsidRDefault="004425C9" w:rsidP="00BC5C2B">
            <w:pPr>
              <w:jc w:val="left"/>
              <w:rPr>
                <w:sz w:val="16"/>
                <w:szCs w:val="16"/>
              </w:rPr>
            </w:pPr>
          </w:p>
        </w:tc>
        <w:tc>
          <w:tcPr>
            <w:tcW w:w="1134" w:type="dxa"/>
            <w:vAlign w:val="center"/>
          </w:tcPr>
          <w:p w:rsidR="004425C9" w:rsidRDefault="004425C9" w:rsidP="00BC5C2B">
            <w:pPr>
              <w:jc w:val="left"/>
              <w:rPr>
                <w:sz w:val="16"/>
                <w:szCs w:val="16"/>
              </w:rPr>
            </w:pPr>
            <w:r>
              <w:rPr>
                <w:sz w:val="16"/>
                <w:szCs w:val="16"/>
              </w:rPr>
              <w:t>Poor</w:t>
            </w:r>
          </w:p>
        </w:tc>
        <w:tc>
          <w:tcPr>
            <w:tcW w:w="1060" w:type="dxa"/>
            <w:vAlign w:val="center"/>
          </w:tcPr>
          <w:p w:rsidR="004425C9" w:rsidRPr="000668CD" w:rsidRDefault="004425C9" w:rsidP="00BC5C2B">
            <w:pPr>
              <w:jc w:val="center"/>
              <w:rPr>
                <w:sz w:val="16"/>
                <w:szCs w:val="16"/>
              </w:rPr>
            </w:pPr>
            <w:r w:rsidRPr="000668CD">
              <w:rPr>
                <w:sz w:val="16"/>
                <w:szCs w:val="16"/>
              </w:rPr>
              <w:t>–  –</w:t>
            </w:r>
          </w:p>
        </w:tc>
      </w:tr>
      <w:tr w:rsidR="004425C9" w:rsidRPr="000668CD" w:rsidTr="00BC5C2B">
        <w:trPr>
          <w:trHeight w:val="283"/>
          <w:jc w:val="center"/>
        </w:trPr>
        <w:tc>
          <w:tcPr>
            <w:tcW w:w="1871" w:type="dxa"/>
            <w:tcBorders>
              <w:bottom w:val="single" w:sz="4" w:space="0" w:color="auto"/>
            </w:tcBorders>
            <w:shd w:val="clear" w:color="auto" w:fill="auto"/>
            <w:vAlign w:val="center"/>
          </w:tcPr>
          <w:p w:rsidR="004425C9" w:rsidRPr="000668CD" w:rsidRDefault="004425C9" w:rsidP="00BC5C2B">
            <w:pPr>
              <w:jc w:val="left"/>
              <w:rPr>
                <w:sz w:val="16"/>
                <w:szCs w:val="16"/>
              </w:rPr>
            </w:pPr>
            <w:r w:rsidRPr="000668CD">
              <w:rPr>
                <w:sz w:val="16"/>
                <w:szCs w:val="16"/>
              </w:rPr>
              <w:t>Coastal margin activities</w:t>
            </w:r>
          </w:p>
        </w:tc>
        <w:tc>
          <w:tcPr>
            <w:tcW w:w="1020" w:type="dxa"/>
            <w:tcBorders>
              <w:bottom w:val="single" w:sz="4" w:space="0" w:color="auto"/>
            </w:tcBorders>
            <w:vAlign w:val="center"/>
          </w:tcPr>
          <w:p w:rsidR="004425C9" w:rsidRPr="000668CD" w:rsidRDefault="004425C9" w:rsidP="00BC5C2B">
            <w:pPr>
              <w:jc w:val="center"/>
              <w:rPr>
                <w:sz w:val="16"/>
                <w:szCs w:val="16"/>
              </w:rPr>
            </w:pPr>
            <w:r w:rsidRPr="000668CD">
              <w:rPr>
                <w:sz w:val="16"/>
                <w:szCs w:val="16"/>
              </w:rPr>
              <w:t>***</w:t>
            </w:r>
          </w:p>
        </w:tc>
        <w:tc>
          <w:tcPr>
            <w:tcW w:w="3185" w:type="dxa"/>
            <w:vMerge/>
            <w:tcBorders>
              <w:bottom w:val="single" w:sz="4" w:space="0" w:color="auto"/>
            </w:tcBorders>
            <w:vAlign w:val="center"/>
          </w:tcPr>
          <w:p w:rsidR="004425C9" w:rsidRPr="000668CD" w:rsidRDefault="004425C9" w:rsidP="00BC5C2B">
            <w:pPr>
              <w:jc w:val="left"/>
              <w:rPr>
                <w:sz w:val="16"/>
                <w:szCs w:val="16"/>
              </w:rPr>
            </w:pPr>
          </w:p>
        </w:tc>
        <w:tc>
          <w:tcPr>
            <w:tcW w:w="3969" w:type="dxa"/>
            <w:tcBorders>
              <w:bottom w:val="single" w:sz="4" w:space="0" w:color="auto"/>
            </w:tcBorders>
            <w:vAlign w:val="center"/>
          </w:tcPr>
          <w:p w:rsidR="004425C9" w:rsidRPr="000668CD" w:rsidRDefault="004425C9" w:rsidP="00BC5C2B">
            <w:pPr>
              <w:jc w:val="left"/>
              <w:rPr>
                <w:sz w:val="16"/>
                <w:szCs w:val="16"/>
              </w:rPr>
            </w:pPr>
            <w:r>
              <w:rPr>
                <w:sz w:val="16"/>
                <w:szCs w:val="16"/>
              </w:rPr>
              <w:t>Unknown</w:t>
            </w:r>
          </w:p>
        </w:tc>
        <w:tc>
          <w:tcPr>
            <w:tcW w:w="1962" w:type="dxa"/>
            <w:tcBorders>
              <w:bottom w:val="single" w:sz="4" w:space="0" w:color="auto"/>
            </w:tcBorders>
            <w:vAlign w:val="center"/>
          </w:tcPr>
          <w:p w:rsidR="004425C9" w:rsidRPr="00CE258D" w:rsidRDefault="004425C9" w:rsidP="00BC5C2B">
            <w:pPr>
              <w:jc w:val="left"/>
              <w:rPr>
                <w:sz w:val="16"/>
                <w:szCs w:val="16"/>
              </w:rPr>
            </w:pPr>
          </w:p>
        </w:tc>
        <w:tc>
          <w:tcPr>
            <w:tcW w:w="1134" w:type="dxa"/>
            <w:tcBorders>
              <w:bottom w:val="single" w:sz="4" w:space="0" w:color="auto"/>
            </w:tcBorders>
            <w:vAlign w:val="center"/>
          </w:tcPr>
          <w:p w:rsidR="004425C9" w:rsidRDefault="004425C9" w:rsidP="00BC5C2B">
            <w:pPr>
              <w:jc w:val="left"/>
              <w:rPr>
                <w:sz w:val="16"/>
                <w:szCs w:val="16"/>
              </w:rPr>
            </w:pPr>
            <w:r>
              <w:rPr>
                <w:sz w:val="16"/>
                <w:szCs w:val="16"/>
              </w:rPr>
              <w:t>Poor</w:t>
            </w:r>
          </w:p>
        </w:tc>
        <w:tc>
          <w:tcPr>
            <w:tcW w:w="1060" w:type="dxa"/>
            <w:tcBorders>
              <w:bottom w:val="single" w:sz="4" w:space="0" w:color="auto"/>
            </w:tcBorders>
            <w:vAlign w:val="center"/>
          </w:tcPr>
          <w:p w:rsidR="004425C9" w:rsidRPr="000668CD" w:rsidRDefault="004425C9" w:rsidP="00BC5C2B">
            <w:pPr>
              <w:jc w:val="center"/>
              <w:rPr>
                <w:sz w:val="16"/>
                <w:szCs w:val="16"/>
              </w:rPr>
            </w:pPr>
            <w:r w:rsidRPr="000668CD">
              <w:rPr>
                <w:sz w:val="16"/>
                <w:szCs w:val="16"/>
              </w:rPr>
              <w:t>–</w:t>
            </w:r>
          </w:p>
        </w:tc>
      </w:tr>
    </w:tbl>
    <w:p w:rsidR="004425C9" w:rsidRDefault="004425C9" w:rsidP="004425C9"/>
    <w:p w:rsidR="004425C9" w:rsidRDefault="004425C9" w:rsidP="004425C9"/>
    <w:tbl>
      <w:tblPr>
        <w:tblW w:w="14201" w:type="dxa"/>
        <w:jc w:val="center"/>
        <w:tblLayout w:type="fixed"/>
        <w:tblLook w:val="04A0" w:firstRow="1" w:lastRow="0" w:firstColumn="1" w:lastColumn="0" w:noHBand="0" w:noVBand="1"/>
      </w:tblPr>
      <w:tblGrid>
        <w:gridCol w:w="251"/>
        <w:gridCol w:w="1620"/>
        <w:gridCol w:w="1020"/>
        <w:gridCol w:w="2149"/>
        <w:gridCol w:w="1036"/>
        <w:gridCol w:w="3422"/>
        <w:gridCol w:w="547"/>
        <w:gridCol w:w="1962"/>
        <w:gridCol w:w="1134"/>
        <w:gridCol w:w="722"/>
        <w:gridCol w:w="316"/>
        <w:gridCol w:w="22"/>
      </w:tblGrid>
      <w:tr w:rsidR="004425C9" w:rsidRPr="000668CD" w:rsidTr="00BC5C2B">
        <w:trPr>
          <w:jc w:val="center"/>
        </w:trPr>
        <w:tc>
          <w:tcPr>
            <w:tcW w:w="1871" w:type="dxa"/>
            <w:gridSpan w:val="2"/>
            <w:tcBorders>
              <w:top w:val="single" w:sz="12" w:space="0" w:color="auto"/>
              <w:bottom w:val="single" w:sz="12" w:space="0" w:color="auto"/>
            </w:tcBorders>
            <w:vAlign w:val="center"/>
          </w:tcPr>
          <w:p w:rsidR="004425C9" w:rsidRPr="000668CD" w:rsidRDefault="004425C9" w:rsidP="00BC5C2B">
            <w:pPr>
              <w:spacing w:before="60" w:after="60"/>
              <w:jc w:val="left"/>
              <w:rPr>
                <w:b/>
                <w:sz w:val="16"/>
                <w:szCs w:val="16"/>
              </w:rPr>
            </w:pPr>
            <w:r>
              <w:rPr>
                <w:b/>
                <w:sz w:val="16"/>
                <w:szCs w:val="16"/>
              </w:rPr>
              <w:lastRenderedPageBreak/>
              <w:t xml:space="preserve">Environmental </w:t>
            </w:r>
            <w:r w:rsidRPr="000668CD">
              <w:rPr>
                <w:b/>
                <w:sz w:val="16"/>
                <w:szCs w:val="16"/>
              </w:rPr>
              <w:t>Benefit</w:t>
            </w:r>
          </w:p>
        </w:tc>
        <w:tc>
          <w:tcPr>
            <w:tcW w:w="1020" w:type="dxa"/>
            <w:tcBorders>
              <w:top w:val="single" w:sz="12" w:space="0" w:color="auto"/>
              <w:bottom w:val="single" w:sz="12" w:space="0" w:color="auto"/>
            </w:tcBorders>
            <w:vAlign w:val="center"/>
          </w:tcPr>
          <w:p w:rsidR="004425C9" w:rsidRPr="000668CD" w:rsidRDefault="004425C9" w:rsidP="00BC5C2B">
            <w:pPr>
              <w:spacing w:before="60" w:after="60"/>
              <w:jc w:val="left"/>
              <w:rPr>
                <w:b/>
                <w:sz w:val="16"/>
                <w:szCs w:val="16"/>
              </w:rPr>
            </w:pPr>
            <w:r w:rsidRPr="000668CD">
              <w:rPr>
                <w:b/>
                <w:sz w:val="16"/>
                <w:szCs w:val="16"/>
              </w:rPr>
              <w:t>Importance</w:t>
            </w:r>
          </w:p>
        </w:tc>
        <w:tc>
          <w:tcPr>
            <w:tcW w:w="3185" w:type="dxa"/>
            <w:gridSpan w:val="2"/>
            <w:tcBorders>
              <w:top w:val="single" w:sz="12" w:space="0" w:color="auto"/>
              <w:bottom w:val="single" w:sz="12" w:space="0" w:color="auto"/>
            </w:tcBorders>
            <w:vAlign w:val="center"/>
          </w:tcPr>
          <w:p w:rsidR="004425C9" w:rsidRDefault="004425C9" w:rsidP="00BC5C2B">
            <w:pPr>
              <w:spacing w:before="60" w:after="60"/>
              <w:jc w:val="left"/>
              <w:rPr>
                <w:b/>
                <w:sz w:val="16"/>
                <w:szCs w:val="16"/>
              </w:rPr>
            </w:pPr>
            <w:r>
              <w:rPr>
                <w:b/>
                <w:sz w:val="16"/>
                <w:szCs w:val="16"/>
              </w:rPr>
              <w:t xml:space="preserve">Measures </w:t>
            </w:r>
            <w:r>
              <w:rPr>
                <w:b/>
                <w:sz w:val="16"/>
                <w:szCs w:val="16"/>
              </w:rPr>
              <w:br/>
              <w:t>(types and units)</w:t>
            </w:r>
          </w:p>
        </w:tc>
        <w:tc>
          <w:tcPr>
            <w:tcW w:w="3969" w:type="dxa"/>
            <w:gridSpan w:val="2"/>
            <w:tcBorders>
              <w:top w:val="single" w:sz="12" w:space="0" w:color="auto"/>
              <w:bottom w:val="single" w:sz="12" w:space="0" w:color="auto"/>
            </w:tcBorders>
            <w:vAlign w:val="center"/>
          </w:tcPr>
          <w:p w:rsidR="004425C9" w:rsidRPr="000668CD" w:rsidRDefault="004425C9" w:rsidP="00BC5C2B">
            <w:pPr>
              <w:spacing w:before="60" w:after="60"/>
              <w:jc w:val="left"/>
              <w:rPr>
                <w:b/>
                <w:sz w:val="16"/>
                <w:szCs w:val="16"/>
              </w:rPr>
            </w:pPr>
            <w:r>
              <w:rPr>
                <w:b/>
                <w:sz w:val="16"/>
                <w:szCs w:val="16"/>
              </w:rPr>
              <w:t>Level of delivery in the Taw Torridge estuary</w:t>
            </w:r>
          </w:p>
        </w:tc>
        <w:tc>
          <w:tcPr>
            <w:tcW w:w="1962" w:type="dxa"/>
            <w:tcBorders>
              <w:top w:val="single" w:sz="12" w:space="0" w:color="auto"/>
              <w:bottom w:val="single" w:sz="12" w:space="0" w:color="auto"/>
            </w:tcBorders>
            <w:vAlign w:val="center"/>
          </w:tcPr>
          <w:p w:rsidR="004425C9" w:rsidRPr="00CE258D" w:rsidRDefault="004425C9" w:rsidP="00BC5C2B">
            <w:pPr>
              <w:spacing w:before="60" w:after="60"/>
              <w:jc w:val="left"/>
              <w:rPr>
                <w:b/>
                <w:sz w:val="16"/>
                <w:szCs w:val="16"/>
              </w:rPr>
            </w:pPr>
            <w:r w:rsidRPr="00CE258D">
              <w:rPr>
                <w:b/>
                <w:sz w:val="16"/>
                <w:szCs w:val="16"/>
              </w:rPr>
              <w:t>References</w:t>
            </w:r>
          </w:p>
        </w:tc>
        <w:tc>
          <w:tcPr>
            <w:tcW w:w="1134" w:type="dxa"/>
            <w:tcBorders>
              <w:top w:val="single" w:sz="12" w:space="0" w:color="auto"/>
              <w:bottom w:val="single" w:sz="12" w:space="0" w:color="auto"/>
            </w:tcBorders>
            <w:vAlign w:val="center"/>
          </w:tcPr>
          <w:p w:rsidR="004425C9" w:rsidRDefault="004425C9" w:rsidP="00BC5C2B">
            <w:pPr>
              <w:spacing w:before="60" w:after="60"/>
              <w:jc w:val="center"/>
              <w:rPr>
                <w:b/>
                <w:sz w:val="16"/>
                <w:szCs w:val="16"/>
              </w:rPr>
            </w:pPr>
            <w:r>
              <w:rPr>
                <w:b/>
                <w:sz w:val="16"/>
                <w:szCs w:val="16"/>
              </w:rPr>
              <w:t>Confidence assessment</w:t>
            </w:r>
          </w:p>
        </w:tc>
        <w:tc>
          <w:tcPr>
            <w:tcW w:w="1060" w:type="dxa"/>
            <w:gridSpan w:val="3"/>
            <w:tcBorders>
              <w:top w:val="single" w:sz="12" w:space="0" w:color="auto"/>
              <w:bottom w:val="single" w:sz="12" w:space="0" w:color="auto"/>
            </w:tcBorders>
            <w:vAlign w:val="center"/>
          </w:tcPr>
          <w:p w:rsidR="004425C9" w:rsidRPr="000668CD" w:rsidRDefault="004425C9" w:rsidP="00BC5C2B">
            <w:pPr>
              <w:spacing w:before="60" w:after="60"/>
              <w:jc w:val="center"/>
              <w:rPr>
                <w:b/>
                <w:sz w:val="16"/>
                <w:szCs w:val="16"/>
              </w:rPr>
            </w:pPr>
            <w:r w:rsidRPr="000668CD">
              <w:rPr>
                <w:b/>
                <w:sz w:val="16"/>
                <w:szCs w:val="16"/>
              </w:rPr>
              <w:t xml:space="preserve">Potential </w:t>
            </w:r>
            <w:r>
              <w:rPr>
                <w:b/>
                <w:sz w:val="16"/>
                <w:szCs w:val="16"/>
              </w:rPr>
              <w:t>i</w:t>
            </w:r>
            <w:r w:rsidRPr="000668CD">
              <w:rPr>
                <w:b/>
                <w:sz w:val="16"/>
                <w:szCs w:val="16"/>
              </w:rPr>
              <w:t>mpact</w:t>
            </w:r>
            <w:r>
              <w:rPr>
                <w:b/>
                <w:sz w:val="16"/>
                <w:szCs w:val="16"/>
              </w:rPr>
              <w:t xml:space="preserve"> of barrage</w:t>
            </w:r>
          </w:p>
        </w:tc>
      </w:tr>
      <w:tr w:rsidR="004425C9" w:rsidRPr="000668CD" w:rsidTr="00BC5C2B">
        <w:trPr>
          <w:trHeight w:val="227"/>
          <w:jc w:val="center"/>
        </w:trPr>
        <w:tc>
          <w:tcPr>
            <w:tcW w:w="1871" w:type="dxa"/>
            <w:gridSpan w:val="2"/>
            <w:tcBorders>
              <w:top w:val="single" w:sz="4" w:space="0" w:color="auto"/>
            </w:tcBorders>
            <w:shd w:val="clear" w:color="auto" w:fill="auto"/>
            <w:vAlign w:val="center"/>
          </w:tcPr>
          <w:p w:rsidR="004425C9" w:rsidRPr="00E91289" w:rsidRDefault="004425C9" w:rsidP="00BC5C2B">
            <w:pPr>
              <w:jc w:val="left"/>
              <w:rPr>
                <w:i/>
                <w:sz w:val="16"/>
                <w:szCs w:val="16"/>
              </w:rPr>
            </w:pPr>
            <w:r w:rsidRPr="00E91289">
              <w:rPr>
                <w:i/>
                <w:sz w:val="16"/>
                <w:szCs w:val="16"/>
              </w:rPr>
              <w:t>Cognitive development</w:t>
            </w:r>
          </w:p>
        </w:tc>
        <w:tc>
          <w:tcPr>
            <w:tcW w:w="1020" w:type="dxa"/>
            <w:tcBorders>
              <w:top w:val="single" w:sz="4" w:space="0" w:color="auto"/>
            </w:tcBorders>
            <w:vAlign w:val="center"/>
          </w:tcPr>
          <w:p w:rsidR="004425C9" w:rsidRPr="000668CD" w:rsidRDefault="004425C9" w:rsidP="00BC5C2B">
            <w:pPr>
              <w:jc w:val="center"/>
              <w:rPr>
                <w:sz w:val="16"/>
                <w:szCs w:val="16"/>
              </w:rPr>
            </w:pPr>
          </w:p>
        </w:tc>
        <w:tc>
          <w:tcPr>
            <w:tcW w:w="3185" w:type="dxa"/>
            <w:gridSpan w:val="2"/>
            <w:tcBorders>
              <w:top w:val="single" w:sz="4" w:space="0" w:color="auto"/>
            </w:tcBorders>
            <w:vAlign w:val="center"/>
          </w:tcPr>
          <w:p w:rsidR="004425C9" w:rsidRPr="000668CD" w:rsidRDefault="004425C9" w:rsidP="00BC5C2B">
            <w:pPr>
              <w:jc w:val="left"/>
              <w:rPr>
                <w:sz w:val="16"/>
                <w:szCs w:val="16"/>
              </w:rPr>
            </w:pPr>
          </w:p>
        </w:tc>
        <w:tc>
          <w:tcPr>
            <w:tcW w:w="3969" w:type="dxa"/>
            <w:gridSpan w:val="2"/>
            <w:tcBorders>
              <w:top w:val="single" w:sz="4" w:space="0" w:color="auto"/>
            </w:tcBorders>
            <w:vAlign w:val="center"/>
          </w:tcPr>
          <w:p w:rsidR="004425C9" w:rsidRPr="000668CD" w:rsidRDefault="004425C9" w:rsidP="00BC5C2B">
            <w:pPr>
              <w:jc w:val="left"/>
              <w:rPr>
                <w:sz w:val="16"/>
                <w:szCs w:val="16"/>
              </w:rPr>
            </w:pPr>
          </w:p>
        </w:tc>
        <w:tc>
          <w:tcPr>
            <w:tcW w:w="1962" w:type="dxa"/>
            <w:tcBorders>
              <w:top w:val="single" w:sz="4" w:space="0" w:color="auto"/>
            </w:tcBorders>
            <w:vAlign w:val="center"/>
          </w:tcPr>
          <w:p w:rsidR="004425C9" w:rsidRPr="00CE258D" w:rsidRDefault="004425C9" w:rsidP="00BC5C2B">
            <w:pPr>
              <w:jc w:val="left"/>
              <w:rPr>
                <w:sz w:val="16"/>
                <w:szCs w:val="16"/>
              </w:rPr>
            </w:pPr>
          </w:p>
        </w:tc>
        <w:tc>
          <w:tcPr>
            <w:tcW w:w="1134" w:type="dxa"/>
            <w:tcBorders>
              <w:top w:val="single" w:sz="4" w:space="0" w:color="auto"/>
            </w:tcBorders>
          </w:tcPr>
          <w:p w:rsidR="004425C9" w:rsidRPr="000668CD" w:rsidRDefault="004425C9" w:rsidP="00BC5C2B">
            <w:pPr>
              <w:jc w:val="left"/>
              <w:rPr>
                <w:sz w:val="16"/>
                <w:szCs w:val="16"/>
              </w:rPr>
            </w:pPr>
          </w:p>
        </w:tc>
        <w:tc>
          <w:tcPr>
            <w:tcW w:w="1060" w:type="dxa"/>
            <w:gridSpan w:val="3"/>
            <w:tcBorders>
              <w:top w:val="single" w:sz="4" w:space="0" w:color="auto"/>
            </w:tcBorders>
            <w:vAlign w:val="center"/>
          </w:tcPr>
          <w:p w:rsidR="004425C9" w:rsidRPr="000668CD" w:rsidRDefault="004425C9" w:rsidP="00BC5C2B">
            <w:pPr>
              <w:jc w:val="center"/>
              <w:rPr>
                <w:sz w:val="16"/>
                <w:szCs w:val="16"/>
              </w:rPr>
            </w:pPr>
          </w:p>
        </w:tc>
      </w:tr>
      <w:tr w:rsidR="004425C9" w:rsidRPr="000668CD" w:rsidTr="00BC5C2B">
        <w:trPr>
          <w:trHeight w:val="283"/>
          <w:jc w:val="center"/>
        </w:trPr>
        <w:tc>
          <w:tcPr>
            <w:tcW w:w="1871" w:type="dxa"/>
            <w:gridSpan w:val="2"/>
            <w:shd w:val="clear" w:color="auto" w:fill="auto"/>
            <w:vAlign w:val="center"/>
          </w:tcPr>
          <w:p w:rsidR="004425C9" w:rsidRPr="000668CD" w:rsidRDefault="004425C9" w:rsidP="00BC5C2B">
            <w:pPr>
              <w:jc w:val="left"/>
              <w:rPr>
                <w:sz w:val="16"/>
                <w:szCs w:val="16"/>
              </w:rPr>
            </w:pPr>
            <w:r w:rsidRPr="000668CD">
              <w:rPr>
                <w:sz w:val="16"/>
                <w:szCs w:val="16"/>
              </w:rPr>
              <w:t>Education</w:t>
            </w:r>
          </w:p>
        </w:tc>
        <w:tc>
          <w:tcPr>
            <w:tcW w:w="1020" w:type="dxa"/>
            <w:vAlign w:val="center"/>
          </w:tcPr>
          <w:p w:rsidR="004425C9" w:rsidRPr="000668CD" w:rsidRDefault="004425C9" w:rsidP="00BC5C2B">
            <w:pPr>
              <w:jc w:val="center"/>
              <w:rPr>
                <w:sz w:val="16"/>
                <w:szCs w:val="16"/>
              </w:rPr>
            </w:pPr>
            <w:r w:rsidRPr="000668CD">
              <w:rPr>
                <w:sz w:val="16"/>
                <w:szCs w:val="16"/>
              </w:rPr>
              <w:t>**</w:t>
            </w:r>
          </w:p>
        </w:tc>
        <w:tc>
          <w:tcPr>
            <w:tcW w:w="3185" w:type="dxa"/>
            <w:gridSpan w:val="2"/>
            <w:vAlign w:val="center"/>
          </w:tcPr>
          <w:p w:rsidR="004425C9" w:rsidRPr="000668CD" w:rsidRDefault="004425C9" w:rsidP="00BC5C2B">
            <w:pPr>
              <w:jc w:val="left"/>
              <w:rPr>
                <w:sz w:val="16"/>
                <w:szCs w:val="16"/>
              </w:rPr>
            </w:pPr>
            <w:r>
              <w:rPr>
                <w:sz w:val="16"/>
                <w:szCs w:val="16"/>
              </w:rPr>
              <w:t>Number of participants</w:t>
            </w:r>
          </w:p>
        </w:tc>
        <w:tc>
          <w:tcPr>
            <w:tcW w:w="3969" w:type="dxa"/>
            <w:gridSpan w:val="2"/>
            <w:vAlign w:val="center"/>
          </w:tcPr>
          <w:p w:rsidR="004425C9" w:rsidRPr="000668CD" w:rsidRDefault="004425C9" w:rsidP="00BC5C2B">
            <w:pPr>
              <w:jc w:val="left"/>
              <w:rPr>
                <w:sz w:val="16"/>
                <w:szCs w:val="16"/>
              </w:rPr>
            </w:pPr>
            <w:r>
              <w:rPr>
                <w:sz w:val="16"/>
                <w:szCs w:val="16"/>
              </w:rPr>
              <w:t>Potentially 5,000+ child-visits per year</w:t>
            </w:r>
          </w:p>
        </w:tc>
        <w:tc>
          <w:tcPr>
            <w:tcW w:w="1962" w:type="dxa"/>
            <w:vAlign w:val="center"/>
          </w:tcPr>
          <w:p w:rsidR="004425C9" w:rsidRPr="00CE258D" w:rsidRDefault="004425C9" w:rsidP="00BC5C2B">
            <w:pPr>
              <w:jc w:val="left"/>
              <w:rPr>
                <w:sz w:val="16"/>
                <w:szCs w:val="16"/>
              </w:rPr>
            </w:pPr>
            <w:r w:rsidRPr="00CE258D">
              <w:rPr>
                <w:sz w:val="16"/>
                <w:szCs w:val="16"/>
              </w:rPr>
              <w:t>survey of local schools</w:t>
            </w:r>
          </w:p>
        </w:tc>
        <w:tc>
          <w:tcPr>
            <w:tcW w:w="1134" w:type="dxa"/>
            <w:vAlign w:val="center"/>
          </w:tcPr>
          <w:p w:rsidR="004425C9" w:rsidRDefault="004425C9" w:rsidP="00BC5C2B">
            <w:pPr>
              <w:jc w:val="left"/>
              <w:rPr>
                <w:sz w:val="16"/>
                <w:szCs w:val="16"/>
              </w:rPr>
            </w:pPr>
            <w:r>
              <w:rPr>
                <w:sz w:val="16"/>
                <w:szCs w:val="16"/>
              </w:rPr>
              <w:t>Moderate</w:t>
            </w:r>
          </w:p>
        </w:tc>
        <w:tc>
          <w:tcPr>
            <w:tcW w:w="1060" w:type="dxa"/>
            <w:gridSpan w:val="3"/>
            <w:vAlign w:val="center"/>
          </w:tcPr>
          <w:p w:rsidR="004425C9" w:rsidRPr="000668CD" w:rsidRDefault="004425C9" w:rsidP="00BC5C2B">
            <w:pPr>
              <w:jc w:val="center"/>
              <w:rPr>
                <w:sz w:val="16"/>
                <w:szCs w:val="16"/>
              </w:rPr>
            </w:pPr>
            <w:r w:rsidRPr="000668CD">
              <w:rPr>
                <w:sz w:val="16"/>
                <w:szCs w:val="16"/>
              </w:rPr>
              <w:t>+ +</w:t>
            </w:r>
          </w:p>
        </w:tc>
      </w:tr>
      <w:tr w:rsidR="004425C9" w:rsidRPr="000668CD" w:rsidTr="00BC5C2B">
        <w:trPr>
          <w:trHeight w:val="283"/>
          <w:jc w:val="center"/>
        </w:trPr>
        <w:tc>
          <w:tcPr>
            <w:tcW w:w="1871" w:type="dxa"/>
            <w:gridSpan w:val="2"/>
            <w:tcBorders>
              <w:bottom w:val="single" w:sz="4" w:space="0" w:color="auto"/>
            </w:tcBorders>
            <w:shd w:val="clear" w:color="auto" w:fill="auto"/>
            <w:vAlign w:val="center"/>
          </w:tcPr>
          <w:p w:rsidR="004425C9" w:rsidRPr="000668CD" w:rsidRDefault="004425C9" w:rsidP="00BC5C2B">
            <w:pPr>
              <w:jc w:val="left"/>
              <w:rPr>
                <w:sz w:val="16"/>
                <w:szCs w:val="16"/>
              </w:rPr>
            </w:pPr>
            <w:r w:rsidRPr="000668CD">
              <w:rPr>
                <w:sz w:val="16"/>
                <w:szCs w:val="16"/>
              </w:rPr>
              <w:t>Research</w:t>
            </w:r>
          </w:p>
        </w:tc>
        <w:tc>
          <w:tcPr>
            <w:tcW w:w="1020" w:type="dxa"/>
            <w:tcBorders>
              <w:bottom w:val="single" w:sz="4" w:space="0" w:color="auto"/>
            </w:tcBorders>
            <w:vAlign w:val="center"/>
          </w:tcPr>
          <w:p w:rsidR="004425C9" w:rsidRPr="000668CD" w:rsidRDefault="004425C9" w:rsidP="00BC5C2B">
            <w:pPr>
              <w:jc w:val="center"/>
              <w:rPr>
                <w:sz w:val="16"/>
                <w:szCs w:val="16"/>
              </w:rPr>
            </w:pPr>
            <w:r w:rsidRPr="000668CD">
              <w:rPr>
                <w:sz w:val="16"/>
                <w:szCs w:val="16"/>
              </w:rPr>
              <w:t>*</w:t>
            </w:r>
          </w:p>
        </w:tc>
        <w:tc>
          <w:tcPr>
            <w:tcW w:w="3185" w:type="dxa"/>
            <w:gridSpan w:val="2"/>
            <w:tcBorders>
              <w:bottom w:val="single" w:sz="4" w:space="0" w:color="auto"/>
            </w:tcBorders>
            <w:vAlign w:val="center"/>
          </w:tcPr>
          <w:p w:rsidR="004425C9" w:rsidRPr="000668CD" w:rsidRDefault="004425C9" w:rsidP="00BC5C2B">
            <w:pPr>
              <w:jc w:val="left"/>
              <w:rPr>
                <w:sz w:val="16"/>
                <w:szCs w:val="16"/>
              </w:rPr>
            </w:pPr>
            <w:r>
              <w:rPr>
                <w:sz w:val="16"/>
                <w:szCs w:val="16"/>
              </w:rPr>
              <w:t>Number of published papers/reports</w:t>
            </w:r>
          </w:p>
        </w:tc>
        <w:tc>
          <w:tcPr>
            <w:tcW w:w="3969" w:type="dxa"/>
            <w:gridSpan w:val="2"/>
            <w:tcBorders>
              <w:bottom w:val="single" w:sz="4" w:space="0" w:color="auto"/>
            </w:tcBorders>
            <w:vAlign w:val="center"/>
          </w:tcPr>
          <w:p w:rsidR="004425C9" w:rsidRPr="000668CD" w:rsidRDefault="004425C9" w:rsidP="00BC5C2B">
            <w:pPr>
              <w:jc w:val="left"/>
              <w:rPr>
                <w:sz w:val="16"/>
                <w:szCs w:val="16"/>
              </w:rPr>
            </w:pPr>
            <w:r>
              <w:rPr>
                <w:sz w:val="16"/>
                <w:szCs w:val="16"/>
              </w:rPr>
              <w:t>83 papers/reports published</w:t>
            </w:r>
          </w:p>
        </w:tc>
        <w:tc>
          <w:tcPr>
            <w:tcW w:w="1962" w:type="dxa"/>
            <w:tcBorders>
              <w:bottom w:val="single" w:sz="4" w:space="0" w:color="auto"/>
            </w:tcBorders>
            <w:vAlign w:val="center"/>
          </w:tcPr>
          <w:p w:rsidR="004425C9" w:rsidRPr="00CE258D" w:rsidRDefault="004425C9" w:rsidP="00BC5C2B">
            <w:pPr>
              <w:jc w:val="left"/>
              <w:rPr>
                <w:sz w:val="16"/>
                <w:szCs w:val="16"/>
              </w:rPr>
            </w:pPr>
            <w:r w:rsidRPr="00CE258D">
              <w:rPr>
                <w:sz w:val="16"/>
                <w:szCs w:val="16"/>
              </w:rPr>
              <w:t>National Marine Biological Library (NMBL) database</w:t>
            </w:r>
          </w:p>
        </w:tc>
        <w:tc>
          <w:tcPr>
            <w:tcW w:w="1134" w:type="dxa"/>
            <w:tcBorders>
              <w:bottom w:val="single" w:sz="4" w:space="0" w:color="auto"/>
            </w:tcBorders>
            <w:vAlign w:val="center"/>
          </w:tcPr>
          <w:p w:rsidR="004425C9" w:rsidRDefault="004425C9" w:rsidP="00BC5C2B">
            <w:pPr>
              <w:jc w:val="left"/>
              <w:rPr>
                <w:sz w:val="16"/>
                <w:szCs w:val="16"/>
              </w:rPr>
            </w:pPr>
            <w:r>
              <w:rPr>
                <w:sz w:val="16"/>
                <w:szCs w:val="16"/>
              </w:rPr>
              <w:t>Moderate</w:t>
            </w:r>
          </w:p>
        </w:tc>
        <w:tc>
          <w:tcPr>
            <w:tcW w:w="1060" w:type="dxa"/>
            <w:gridSpan w:val="3"/>
            <w:tcBorders>
              <w:bottom w:val="single" w:sz="4" w:space="0" w:color="auto"/>
            </w:tcBorders>
            <w:vAlign w:val="center"/>
          </w:tcPr>
          <w:p w:rsidR="004425C9" w:rsidRPr="000668CD" w:rsidRDefault="004425C9" w:rsidP="00BC5C2B">
            <w:pPr>
              <w:jc w:val="center"/>
              <w:rPr>
                <w:sz w:val="16"/>
                <w:szCs w:val="16"/>
              </w:rPr>
            </w:pPr>
            <w:r w:rsidRPr="000668CD">
              <w:rPr>
                <w:sz w:val="16"/>
                <w:szCs w:val="16"/>
              </w:rPr>
              <w:t>+ + +</w:t>
            </w:r>
          </w:p>
        </w:tc>
      </w:tr>
      <w:tr w:rsidR="004425C9" w:rsidRPr="005C6C13" w:rsidTr="00BC5C2B">
        <w:trPr>
          <w:trHeight w:val="227"/>
          <w:jc w:val="center"/>
        </w:trPr>
        <w:tc>
          <w:tcPr>
            <w:tcW w:w="1871" w:type="dxa"/>
            <w:gridSpan w:val="2"/>
            <w:tcBorders>
              <w:top w:val="single" w:sz="4" w:space="0" w:color="auto"/>
            </w:tcBorders>
            <w:shd w:val="clear" w:color="auto" w:fill="auto"/>
            <w:vAlign w:val="center"/>
          </w:tcPr>
          <w:p w:rsidR="004425C9" w:rsidRPr="005C6C13" w:rsidRDefault="004425C9" w:rsidP="00BC5C2B">
            <w:pPr>
              <w:jc w:val="left"/>
              <w:rPr>
                <w:i/>
                <w:sz w:val="16"/>
                <w:szCs w:val="16"/>
              </w:rPr>
            </w:pPr>
            <w:r w:rsidRPr="005C6C13">
              <w:rPr>
                <w:i/>
                <w:sz w:val="16"/>
                <w:szCs w:val="16"/>
              </w:rPr>
              <w:t>Heritage &amp; identity</w:t>
            </w:r>
          </w:p>
        </w:tc>
        <w:tc>
          <w:tcPr>
            <w:tcW w:w="1020" w:type="dxa"/>
            <w:tcBorders>
              <w:top w:val="single" w:sz="4" w:space="0" w:color="auto"/>
            </w:tcBorders>
            <w:vAlign w:val="center"/>
          </w:tcPr>
          <w:p w:rsidR="004425C9" w:rsidRPr="005C6C13" w:rsidRDefault="004425C9" w:rsidP="00BC5C2B">
            <w:pPr>
              <w:jc w:val="center"/>
              <w:rPr>
                <w:sz w:val="16"/>
                <w:szCs w:val="16"/>
              </w:rPr>
            </w:pPr>
          </w:p>
        </w:tc>
        <w:tc>
          <w:tcPr>
            <w:tcW w:w="3185" w:type="dxa"/>
            <w:gridSpan w:val="2"/>
            <w:tcBorders>
              <w:top w:val="single" w:sz="4" w:space="0" w:color="auto"/>
            </w:tcBorders>
            <w:vAlign w:val="center"/>
          </w:tcPr>
          <w:p w:rsidR="004425C9" w:rsidRPr="005C6C13" w:rsidRDefault="004425C9" w:rsidP="00BC5C2B">
            <w:pPr>
              <w:jc w:val="left"/>
              <w:rPr>
                <w:sz w:val="16"/>
                <w:szCs w:val="16"/>
              </w:rPr>
            </w:pPr>
          </w:p>
        </w:tc>
        <w:tc>
          <w:tcPr>
            <w:tcW w:w="3969" w:type="dxa"/>
            <w:gridSpan w:val="2"/>
            <w:tcBorders>
              <w:top w:val="single" w:sz="4" w:space="0" w:color="auto"/>
            </w:tcBorders>
            <w:vAlign w:val="center"/>
          </w:tcPr>
          <w:p w:rsidR="004425C9" w:rsidRPr="005C6C13" w:rsidRDefault="004425C9" w:rsidP="00BC5C2B">
            <w:pPr>
              <w:jc w:val="left"/>
              <w:rPr>
                <w:sz w:val="16"/>
                <w:szCs w:val="16"/>
              </w:rPr>
            </w:pPr>
          </w:p>
        </w:tc>
        <w:tc>
          <w:tcPr>
            <w:tcW w:w="1962" w:type="dxa"/>
            <w:tcBorders>
              <w:top w:val="single" w:sz="4" w:space="0" w:color="auto"/>
            </w:tcBorders>
            <w:vAlign w:val="center"/>
          </w:tcPr>
          <w:p w:rsidR="004425C9" w:rsidRPr="00CE258D" w:rsidRDefault="004425C9" w:rsidP="00BC5C2B">
            <w:pPr>
              <w:jc w:val="left"/>
              <w:rPr>
                <w:sz w:val="16"/>
                <w:szCs w:val="16"/>
              </w:rPr>
            </w:pPr>
          </w:p>
        </w:tc>
        <w:tc>
          <w:tcPr>
            <w:tcW w:w="1134" w:type="dxa"/>
            <w:tcBorders>
              <w:top w:val="single" w:sz="4" w:space="0" w:color="auto"/>
            </w:tcBorders>
          </w:tcPr>
          <w:p w:rsidR="004425C9" w:rsidRPr="005C6C13" w:rsidRDefault="004425C9" w:rsidP="00BC5C2B">
            <w:pPr>
              <w:jc w:val="left"/>
              <w:rPr>
                <w:sz w:val="16"/>
                <w:szCs w:val="16"/>
              </w:rPr>
            </w:pPr>
          </w:p>
        </w:tc>
        <w:tc>
          <w:tcPr>
            <w:tcW w:w="1060" w:type="dxa"/>
            <w:gridSpan w:val="3"/>
            <w:tcBorders>
              <w:top w:val="single" w:sz="4" w:space="0" w:color="auto"/>
            </w:tcBorders>
            <w:vAlign w:val="center"/>
          </w:tcPr>
          <w:p w:rsidR="004425C9" w:rsidRPr="005C6C13" w:rsidRDefault="004425C9" w:rsidP="00BC5C2B">
            <w:pPr>
              <w:jc w:val="center"/>
              <w:rPr>
                <w:sz w:val="16"/>
                <w:szCs w:val="16"/>
              </w:rPr>
            </w:pPr>
          </w:p>
        </w:tc>
      </w:tr>
      <w:tr w:rsidR="004425C9" w:rsidRPr="005C6C13" w:rsidTr="00BC5C2B">
        <w:trPr>
          <w:trHeight w:val="283"/>
          <w:jc w:val="center"/>
        </w:trPr>
        <w:tc>
          <w:tcPr>
            <w:tcW w:w="1871" w:type="dxa"/>
            <w:gridSpan w:val="2"/>
            <w:shd w:val="clear" w:color="auto" w:fill="auto"/>
            <w:vAlign w:val="center"/>
          </w:tcPr>
          <w:p w:rsidR="004425C9" w:rsidRPr="005C6C13" w:rsidRDefault="004425C9" w:rsidP="00BC5C2B">
            <w:pPr>
              <w:jc w:val="left"/>
              <w:rPr>
                <w:sz w:val="16"/>
                <w:szCs w:val="16"/>
              </w:rPr>
            </w:pPr>
            <w:r w:rsidRPr="005C6C13">
              <w:rPr>
                <w:sz w:val="16"/>
                <w:szCs w:val="16"/>
              </w:rPr>
              <w:t>Archaeology</w:t>
            </w:r>
          </w:p>
        </w:tc>
        <w:tc>
          <w:tcPr>
            <w:tcW w:w="1020" w:type="dxa"/>
            <w:vAlign w:val="center"/>
          </w:tcPr>
          <w:p w:rsidR="004425C9" w:rsidRPr="005C6C13" w:rsidRDefault="004425C9" w:rsidP="00BC5C2B">
            <w:pPr>
              <w:jc w:val="center"/>
              <w:rPr>
                <w:sz w:val="16"/>
                <w:szCs w:val="16"/>
              </w:rPr>
            </w:pPr>
            <w:r w:rsidRPr="005C6C13">
              <w:rPr>
                <w:sz w:val="16"/>
                <w:szCs w:val="16"/>
              </w:rPr>
              <w:t>**</w:t>
            </w:r>
          </w:p>
        </w:tc>
        <w:tc>
          <w:tcPr>
            <w:tcW w:w="3185" w:type="dxa"/>
            <w:gridSpan w:val="2"/>
            <w:vAlign w:val="center"/>
          </w:tcPr>
          <w:p w:rsidR="004425C9" w:rsidRPr="005C6C13" w:rsidRDefault="004425C9" w:rsidP="00BC5C2B">
            <w:pPr>
              <w:jc w:val="left"/>
              <w:rPr>
                <w:sz w:val="16"/>
                <w:szCs w:val="16"/>
              </w:rPr>
            </w:pPr>
            <w:r w:rsidRPr="005C6C13">
              <w:rPr>
                <w:sz w:val="16"/>
                <w:szCs w:val="16"/>
              </w:rPr>
              <w:t>Number and importance of sites</w:t>
            </w:r>
          </w:p>
        </w:tc>
        <w:tc>
          <w:tcPr>
            <w:tcW w:w="3969" w:type="dxa"/>
            <w:gridSpan w:val="2"/>
            <w:vAlign w:val="center"/>
          </w:tcPr>
          <w:p w:rsidR="004425C9" w:rsidRPr="005C6C13" w:rsidRDefault="004425C9" w:rsidP="00BC5C2B">
            <w:pPr>
              <w:jc w:val="left"/>
              <w:rPr>
                <w:sz w:val="16"/>
                <w:szCs w:val="16"/>
              </w:rPr>
            </w:pPr>
            <w:r w:rsidRPr="005C6C13">
              <w:rPr>
                <w:sz w:val="16"/>
                <w:szCs w:val="16"/>
              </w:rPr>
              <w:t>Two scheduled ancient monuments and fish weirs within the estuary. Also shipwrecks at the mouth, lime kilns and World War II artefacts on the shore.</w:t>
            </w:r>
          </w:p>
        </w:tc>
        <w:tc>
          <w:tcPr>
            <w:tcW w:w="1962" w:type="dxa"/>
            <w:vAlign w:val="center"/>
          </w:tcPr>
          <w:p w:rsidR="004425C9" w:rsidRPr="00CE258D" w:rsidRDefault="004425C9" w:rsidP="00BC5C2B">
            <w:pPr>
              <w:jc w:val="left"/>
              <w:rPr>
                <w:sz w:val="16"/>
                <w:szCs w:val="16"/>
              </w:rPr>
            </w:pPr>
            <w:proofErr w:type="spellStart"/>
            <w:r w:rsidRPr="00CE258D">
              <w:rPr>
                <w:sz w:val="16"/>
                <w:szCs w:val="16"/>
              </w:rPr>
              <w:t>Preece</w:t>
            </w:r>
            <w:proofErr w:type="spellEnd"/>
            <w:r w:rsidRPr="00CE258D">
              <w:rPr>
                <w:sz w:val="16"/>
                <w:szCs w:val="16"/>
              </w:rPr>
              <w:t xml:space="preserve"> (2005, 2008)</w:t>
            </w:r>
          </w:p>
        </w:tc>
        <w:tc>
          <w:tcPr>
            <w:tcW w:w="1134" w:type="dxa"/>
            <w:vAlign w:val="center"/>
          </w:tcPr>
          <w:p w:rsidR="004425C9" w:rsidRPr="005C6C13" w:rsidRDefault="004425C9" w:rsidP="00BC5C2B">
            <w:pPr>
              <w:jc w:val="left"/>
              <w:rPr>
                <w:sz w:val="16"/>
                <w:szCs w:val="16"/>
              </w:rPr>
            </w:pPr>
            <w:r>
              <w:rPr>
                <w:sz w:val="16"/>
                <w:szCs w:val="16"/>
              </w:rPr>
              <w:t>Good</w:t>
            </w:r>
          </w:p>
        </w:tc>
        <w:tc>
          <w:tcPr>
            <w:tcW w:w="1060" w:type="dxa"/>
            <w:gridSpan w:val="3"/>
            <w:vAlign w:val="center"/>
          </w:tcPr>
          <w:p w:rsidR="004425C9" w:rsidRPr="005C6C13" w:rsidRDefault="004425C9" w:rsidP="00BC5C2B">
            <w:pPr>
              <w:jc w:val="center"/>
              <w:rPr>
                <w:sz w:val="16"/>
                <w:szCs w:val="16"/>
              </w:rPr>
            </w:pPr>
            <w:r w:rsidRPr="005C6C13">
              <w:rPr>
                <w:sz w:val="16"/>
                <w:szCs w:val="16"/>
              </w:rPr>
              <w:t>–  –  –</w:t>
            </w:r>
          </w:p>
        </w:tc>
      </w:tr>
      <w:tr w:rsidR="004425C9" w:rsidRPr="005C6C13" w:rsidTr="00BC5C2B">
        <w:trPr>
          <w:trHeight w:val="283"/>
          <w:jc w:val="center"/>
        </w:trPr>
        <w:tc>
          <w:tcPr>
            <w:tcW w:w="1871" w:type="dxa"/>
            <w:gridSpan w:val="2"/>
            <w:tcBorders>
              <w:bottom w:val="single" w:sz="12" w:space="0" w:color="auto"/>
            </w:tcBorders>
            <w:shd w:val="clear" w:color="auto" w:fill="auto"/>
            <w:vAlign w:val="center"/>
          </w:tcPr>
          <w:p w:rsidR="004425C9" w:rsidRPr="005C6C13" w:rsidRDefault="004425C9" w:rsidP="00BC5C2B">
            <w:pPr>
              <w:jc w:val="left"/>
              <w:rPr>
                <w:sz w:val="16"/>
                <w:szCs w:val="16"/>
              </w:rPr>
            </w:pPr>
            <w:r w:rsidRPr="005C6C13">
              <w:rPr>
                <w:sz w:val="16"/>
                <w:szCs w:val="16"/>
              </w:rPr>
              <w:t>Cultural heritage</w:t>
            </w:r>
          </w:p>
        </w:tc>
        <w:tc>
          <w:tcPr>
            <w:tcW w:w="1020" w:type="dxa"/>
            <w:tcBorders>
              <w:bottom w:val="single" w:sz="12" w:space="0" w:color="auto"/>
            </w:tcBorders>
            <w:vAlign w:val="center"/>
          </w:tcPr>
          <w:p w:rsidR="004425C9" w:rsidRPr="005C6C13" w:rsidRDefault="004425C9" w:rsidP="00BC5C2B">
            <w:pPr>
              <w:jc w:val="center"/>
              <w:rPr>
                <w:sz w:val="16"/>
                <w:szCs w:val="16"/>
              </w:rPr>
            </w:pPr>
            <w:r w:rsidRPr="005C6C13">
              <w:rPr>
                <w:sz w:val="16"/>
                <w:szCs w:val="16"/>
              </w:rPr>
              <w:t>***</w:t>
            </w:r>
          </w:p>
        </w:tc>
        <w:tc>
          <w:tcPr>
            <w:tcW w:w="3185" w:type="dxa"/>
            <w:gridSpan w:val="2"/>
            <w:tcBorders>
              <w:bottom w:val="single" w:sz="12" w:space="0" w:color="auto"/>
            </w:tcBorders>
            <w:vAlign w:val="center"/>
          </w:tcPr>
          <w:p w:rsidR="004425C9" w:rsidRPr="00503132" w:rsidRDefault="004425C9" w:rsidP="00BC5C2B">
            <w:pPr>
              <w:jc w:val="left"/>
              <w:rPr>
                <w:sz w:val="16"/>
                <w:szCs w:val="16"/>
              </w:rPr>
            </w:pPr>
            <w:r>
              <w:rPr>
                <w:sz w:val="16"/>
                <w:szCs w:val="16"/>
              </w:rPr>
              <w:t xml:space="preserve">Value to the community </w:t>
            </w:r>
          </w:p>
        </w:tc>
        <w:tc>
          <w:tcPr>
            <w:tcW w:w="3969" w:type="dxa"/>
            <w:gridSpan w:val="2"/>
            <w:tcBorders>
              <w:bottom w:val="single" w:sz="12" w:space="0" w:color="auto"/>
            </w:tcBorders>
            <w:vAlign w:val="center"/>
          </w:tcPr>
          <w:p w:rsidR="004425C9" w:rsidRPr="005C6C13" w:rsidRDefault="004425C9" w:rsidP="00BC5C2B">
            <w:pPr>
              <w:jc w:val="left"/>
              <w:rPr>
                <w:sz w:val="16"/>
                <w:szCs w:val="16"/>
              </w:rPr>
            </w:pPr>
            <w:r w:rsidRPr="005C6C13">
              <w:rPr>
                <w:sz w:val="16"/>
                <w:szCs w:val="16"/>
              </w:rPr>
              <w:t xml:space="preserve">Strong history of shipbuilding, fishing and maritime trade, which has recently been recorded in </w:t>
            </w:r>
            <w:r>
              <w:rPr>
                <w:sz w:val="16"/>
                <w:szCs w:val="16"/>
              </w:rPr>
              <w:t>oral histories, and features in tourism media</w:t>
            </w:r>
          </w:p>
        </w:tc>
        <w:tc>
          <w:tcPr>
            <w:tcW w:w="1962" w:type="dxa"/>
            <w:tcBorders>
              <w:bottom w:val="single" w:sz="12" w:space="0" w:color="auto"/>
            </w:tcBorders>
            <w:vAlign w:val="center"/>
          </w:tcPr>
          <w:p w:rsidR="004425C9" w:rsidRPr="00CE258D" w:rsidRDefault="004425C9" w:rsidP="00BC5C2B">
            <w:pPr>
              <w:jc w:val="left"/>
              <w:rPr>
                <w:sz w:val="16"/>
                <w:szCs w:val="16"/>
              </w:rPr>
            </w:pPr>
            <w:proofErr w:type="spellStart"/>
            <w:r w:rsidRPr="00CE258D">
              <w:rPr>
                <w:sz w:val="16"/>
                <w:szCs w:val="16"/>
              </w:rPr>
              <w:t>Preece</w:t>
            </w:r>
            <w:proofErr w:type="spellEnd"/>
            <w:r w:rsidRPr="00CE258D">
              <w:rPr>
                <w:sz w:val="16"/>
                <w:szCs w:val="16"/>
              </w:rPr>
              <w:t xml:space="preserve">, 2008; Farr, 1976; </w:t>
            </w:r>
          </w:p>
        </w:tc>
        <w:tc>
          <w:tcPr>
            <w:tcW w:w="1134" w:type="dxa"/>
            <w:tcBorders>
              <w:bottom w:val="single" w:sz="12" w:space="0" w:color="auto"/>
            </w:tcBorders>
            <w:vAlign w:val="center"/>
          </w:tcPr>
          <w:p w:rsidR="004425C9" w:rsidRPr="00BF686A" w:rsidRDefault="004425C9" w:rsidP="00BC5C2B">
            <w:pPr>
              <w:jc w:val="left"/>
              <w:rPr>
                <w:sz w:val="16"/>
                <w:szCs w:val="16"/>
              </w:rPr>
            </w:pPr>
            <w:r>
              <w:rPr>
                <w:sz w:val="16"/>
                <w:szCs w:val="16"/>
              </w:rPr>
              <w:t>Poor</w:t>
            </w:r>
          </w:p>
        </w:tc>
        <w:tc>
          <w:tcPr>
            <w:tcW w:w="1060" w:type="dxa"/>
            <w:gridSpan w:val="3"/>
            <w:tcBorders>
              <w:bottom w:val="single" w:sz="12" w:space="0" w:color="auto"/>
            </w:tcBorders>
            <w:vAlign w:val="center"/>
          </w:tcPr>
          <w:p w:rsidR="004425C9" w:rsidRPr="005C6C13" w:rsidRDefault="004425C9" w:rsidP="00BC5C2B">
            <w:pPr>
              <w:jc w:val="center"/>
              <w:rPr>
                <w:sz w:val="16"/>
                <w:szCs w:val="16"/>
              </w:rPr>
            </w:pPr>
            <w:r w:rsidRPr="005C6C13">
              <w:rPr>
                <w:sz w:val="16"/>
                <w:szCs w:val="16"/>
              </w:rPr>
              <w:t>0</w:t>
            </w:r>
          </w:p>
        </w:tc>
      </w:tr>
      <w:tr w:rsidR="004425C9" w:rsidRPr="00A17662" w:rsidTr="00BC5C2B">
        <w:trPr>
          <w:trHeight w:val="227"/>
          <w:jc w:val="center"/>
        </w:trPr>
        <w:tc>
          <w:tcPr>
            <w:tcW w:w="1871" w:type="dxa"/>
            <w:gridSpan w:val="2"/>
            <w:shd w:val="clear" w:color="auto" w:fill="auto"/>
            <w:vAlign w:val="center"/>
          </w:tcPr>
          <w:p w:rsidR="004425C9" w:rsidRPr="00A17662" w:rsidRDefault="004425C9" w:rsidP="00BC5C2B">
            <w:pPr>
              <w:jc w:val="left"/>
              <w:rPr>
                <w:i/>
                <w:sz w:val="16"/>
                <w:szCs w:val="16"/>
              </w:rPr>
            </w:pPr>
            <w:r w:rsidRPr="00A17662">
              <w:rPr>
                <w:i/>
                <w:sz w:val="16"/>
                <w:szCs w:val="16"/>
              </w:rPr>
              <w:t>Psychological wellbeing</w:t>
            </w:r>
          </w:p>
        </w:tc>
        <w:tc>
          <w:tcPr>
            <w:tcW w:w="1020" w:type="dxa"/>
            <w:vAlign w:val="center"/>
          </w:tcPr>
          <w:p w:rsidR="004425C9" w:rsidRPr="00A17662" w:rsidRDefault="004425C9" w:rsidP="00BC5C2B">
            <w:pPr>
              <w:jc w:val="center"/>
              <w:rPr>
                <w:sz w:val="16"/>
                <w:szCs w:val="16"/>
              </w:rPr>
            </w:pPr>
          </w:p>
        </w:tc>
        <w:tc>
          <w:tcPr>
            <w:tcW w:w="3185" w:type="dxa"/>
            <w:gridSpan w:val="2"/>
            <w:vAlign w:val="center"/>
          </w:tcPr>
          <w:p w:rsidR="004425C9" w:rsidRPr="00A17662" w:rsidRDefault="004425C9" w:rsidP="00BC5C2B">
            <w:pPr>
              <w:jc w:val="left"/>
              <w:rPr>
                <w:sz w:val="16"/>
                <w:szCs w:val="16"/>
              </w:rPr>
            </w:pPr>
          </w:p>
        </w:tc>
        <w:tc>
          <w:tcPr>
            <w:tcW w:w="3969" w:type="dxa"/>
            <w:gridSpan w:val="2"/>
            <w:vAlign w:val="center"/>
          </w:tcPr>
          <w:p w:rsidR="004425C9" w:rsidRPr="00A17662" w:rsidRDefault="004425C9" w:rsidP="00BC5C2B">
            <w:pPr>
              <w:jc w:val="left"/>
              <w:rPr>
                <w:sz w:val="16"/>
                <w:szCs w:val="16"/>
              </w:rPr>
            </w:pPr>
          </w:p>
        </w:tc>
        <w:tc>
          <w:tcPr>
            <w:tcW w:w="1962" w:type="dxa"/>
            <w:vAlign w:val="center"/>
          </w:tcPr>
          <w:p w:rsidR="004425C9" w:rsidRPr="00CE258D" w:rsidRDefault="004425C9" w:rsidP="00BC5C2B">
            <w:pPr>
              <w:jc w:val="left"/>
              <w:rPr>
                <w:sz w:val="16"/>
                <w:szCs w:val="16"/>
              </w:rPr>
            </w:pPr>
          </w:p>
        </w:tc>
        <w:tc>
          <w:tcPr>
            <w:tcW w:w="1134" w:type="dxa"/>
          </w:tcPr>
          <w:p w:rsidR="004425C9" w:rsidRPr="00A17662" w:rsidRDefault="004425C9" w:rsidP="00BC5C2B">
            <w:pPr>
              <w:jc w:val="left"/>
              <w:rPr>
                <w:sz w:val="16"/>
                <w:szCs w:val="16"/>
              </w:rPr>
            </w:pPr>
          </w:p>
        </w:tc>
        <w:tc>
          <w:tcPr>
            <w:tcW w:w="1060" w:type="dxa"/>
            <w:gridSpan w:val="3"/>
            <w:vAlign w:val="center"/>
          </w:tcPr>
          <w:p w:rsidR="004425C9" w:rsidRPr="00A17662" w:rsidRDefault="004425C9" w:rsidP="00BC5C2B">
            <w:pPr>
              <w:jc w:val="center"/>
              <w:rPr>
                <w:sz w:val="16"/>
                <w:szCs w:val="16"/>
              </w:rPr>
            </w:pPr>
          </w:p>
        </w:tc>
      </w:tr>
      <w:tr w:rsidR="004425C9" w:rsidRPr="000C62A8" w:rsidTr="00BC5C2B">
        <w:trPr>
          <w:trHeight w:val="283"/>
          <w:jc w:val="center"/>
        </w:trPr>
        <w:tc>
          <w:tcPr>
            <w:tcW w:w="1871" w:type="dxa"/>
            <w:gridSpan w:val="2"/>
            <w:shd w:val="clear" w:color="auto" w:fill="auto"/>
            <w:vAlign w:val="center"/>
          </w:tcPr>
          <w:p w:rsidR="004425C9" w:rsidRPr="00503132" w:rsidRDefault="004425C9" w:rsidP="00BC5C2B">
            <w:pPr>
              <w:jc w:val="left"/>
              <w:rPr>
                <w:sz w:val="16"/>
                <w:szCs w:val="16"/>
              </w:rPr>
            </w:pPr>
            <w:r>
              <w:rPr>
                <w:sz w:val="16"/>
                <w:szCs w:val="16"/>
              </w:rPr>
              <w:t>Ambience (visual amenity, tranquillity)</w:t>
            </w:r>
            <w:r w:rsidRPr="00503132">
              <w:rPr>
                <w:sz w:val="16"/>
                <w:szCs w:val="16"/>
              </w:rPr>
              <w:t xml:space="preserve"> </w:t>
            </w:r>
          </w:p>
        </w:tc>
        <w:tc>
          <w:tcPr>
            <w:tcW w:w="1020" w:type="dxa"/>
            <w:vAlign w:val="center"/>
          </w:tcPr>
          <w:p w:rsidR="004425C9" w:rsidRPr="00503132" w:rsidRDefault="004425C9" w:rsidP="00BC5C2B">
            <w:pPr>
              <w:jc w:val="center"/>
              <w:rPr>
                <w:sz w:val="16"/>
                <w:szCs w:val="16"/>
              </w:rPr>
            </w:pPr>
            <w:r w:rsidRPr="00503132">
              <w:rPr>
                <w:sz w:val="16"/>
                <w:szCs w:val="16"/>
              </w:rPr>
              <w:t>***</w:t>
            </w:r>
          </w:p>
        </w:tc>
        <w:tc>
          <w:tcPr>
            <w:tcW w:w="3185" w:type="dxa"/>
            <w:gridSpan w:val="2"/>
            <w:vAlign w:val="center"/>
          </w:tcPr>
          <w:p w:rsidR="004425C9" w:rsidRPr="00503132" w:rsidRDefault="004425C9" w:rsidP="00BC5C2B">
            <w:pPr>
              <w:jc w:val="left"/>
              <w:rPr>
                <w:sz w:val="16"/>
                <w:szCs w:val="16"/>
              </w:rPr>
            </w:pPr>
            <w:r w:rsidRPr="00503132">
              <w:rPr>
                <w:sz w:val="16"/>
                <w:szCs w:val="16"/>
              </w:rPr>
              <w:t>Designations recognising natural beauty</w:t>
            </w:r>
          </w:p>
          <w:p w:rsidR="004425C9" w:rsidRPr="000C62A8" w:rsidRDefault="004425C9" w:rsidP="00BC5C2B">
            <w:pPr>
              <w:jc w:val="left"/>
              <w:rPr>
                <w:color w:val="C00000"/>
                <w:sz w:val="16"/>
                <w:szCs w:val="16"/>
              </w:rPr>
            </w:pPr>
            <w:r>
              <w:rPr>
                <w:sz w:val="16"/>
                <w:szCs w:val="16"/>
              </w:rPr>
              <w:t>Value to the community</w:t>
            </w:r>
          </w:p>
        </w:tc>
        <w:tc>
          <w:tcPr>
            <w:tcW w:w="3969" w:type="dxa"/>
            <w:gridSpan w:val="2"/>
            <w:vAlign w:val="center"/>
          </w:tcPr>
          <w:p w:rsidR="004425C9" w:rsidRPr="00734B58" w:rsidRDefault="004425C9" w:rsidP="00BC5C2B">
            <w:pPr>
              <w:jc w:val="left"/>
              <w:rPr>
                <w:sz w:val="16"/>
                <w:szCs w:val="16"/>
              </w:rPr>
            </w:pPr>
            <w:r w:rsidRPr="00734B58">
              <w:rPr>
                <w:sz w:val="16"/>
                <w:szCs w:val="16"/>
              </w:rPr>
              <w:t>The area</w:t>
            </w:r>
            <w:r>
              <w:rPr>
                <w:sz w:val="16"/>
                <w:szCs w:val="16"/>
              </w:rPr>
              <w:t xml:space="preserve"> around the mouth of the estuary is within an Area of Outstanding Natural Beauty</w:t>
            </w:r>
          </w:p>
        </w:tc>
        <w:tc>
          <w:tcPr>
            <w:tcW w:w="1962" w:type="dxa"/>
            <w:vAlign w:val="center"/>
          </w:tcPr>
          <w:p w:rsidR="004425C9" w:rsidRPr="00CE258D" w:rsidRDefault="004425C9" w:rsidP="00BC5C2B">
            <w:pPr>
              <w:jc w:val="left"/>
              <w:rPr>
                <w:sz w:val="16"/>
                <w:szCs w:val="16"/>
              </w:rPr>
            </w:pPr>
            <w:r w:rsidRPr="00CE258D">
              <w:rPr>
                <w:sz w:val="16"/>
                <w:szCs w:val="16"/>
              </w:rPr>
              <w:t>North Devon AONB Partnership, 2009</w:t>
            </w:r>
          </w:p>
        </w:tc>
        <w:tc>
          <w:tcPr>
            <w:tcW w:w="1134" w:type="dxa"/>
            <w:vAlign w:val="center"/>
          </w:tcPr>
          <w:p w:rsidR="004425C9" w:rsidRPr="00BF686A" w:rsidRDefault="004425C9" w:rsidP="00BC5C2B">
            <w:pPr>
              <w:jc w:val="left"/>
              <w:rPr>
                <w:sz w:val="16"/>
                <w:szCs w:val="16"/>
              </w:rPr>
            </w:pPr>
            <w:r>
              <w:rPr>
                <w:sz w:val="16"/>
                <w:szCs w:val="16"/>
              </w:rPr>
              <w:t>Poor</w:t>
            </w:r>
          </w:p>
        </w:tc>
        <w:tc>
          <w:tcPr>
            <w:tcW w:w="1060" w:type="dxa"/>
            <w:gridSpan w:val="3"/>
            <w:vAlign w:val="center"/>
          </w:tcPr>
          <w:p w:rsidR="004425C9" w:rsidRPr="00D10275" w:rsidRDefault="004425C9" w:rsidP="00BC5C2B">
            <w:pPr>
              <w:jc w:val="center"/>
              <w:rPr>
                <w:sz w:val="16"/>
                <w:szCs w:val="16"/>
              </w:rPr>
            </w:pPr>
            <w:r w:rsidRPr="00D10275">
              <w:rPr>
                <w:sz w:val="16"/>
                <w:szCs w:val="16"/>
              </w:rPr>
              <w:t>++</w:t>
            </w:r>
            <w:r>
              <w:rPr>
                <w:sz w:val="18"/>
                <w:szCs w:val="18"/>
                <w:vertAlign w:val="superscript"/>
              </w:rPr>
              <w:t xml:space="preserve">3 </w:t>
            </w:r>
            <w:r>
              <w:rPr>
                <w:sz w:val="16"/>
                <w:szCs w:val="16"/>
              </w:rPr>
              <w:t xml:space="preserve">/ </w:t>
            </w:r>
            <w:r w:rsidRPr="00D10275">
              <w:rPr>
                <w:sz w:val="16"/>
                <w:szCs w:val="16"/>
              </w:rPr>
              <w:t>–  –  –</w:t>
            </w:r>
            <w:r>
              <w:rPr>
                <w:sz w:val="18"/>
                <w:szCs w:val="18"/>
                <w:vertAlign w:val="superscript"/>
              </w:rPr>
              <w:t>4</w:t>
            </w:r>
            <w:r w:rsidRPr="00D10275">
              <w:rPr>
                <w:sz w:val="16"/>
                <w:szCs w:val="16"/>
              </w:rPr>
              <w:t xml:space="preserve"> </w:t>
            </w:r>
          </w:p>
        </w:tc>
      </w:tr>
      <w:tr w:rsidR="004425C9" w:rsidRPr="000C62A8" w:rsidTr="00BC5C2B">
        <w:trPr>
          <w:trHeight w:val="283"/>
          <w:jc w:val="center"/>
        </w:trPr>
        <w:tc>
          <w:tcPr>
            <w:tcW w:w="1871" w:type="dxa"/>
            <w:gridSpan w:val="2"/>
            <w:tcBorders>
              <w:bottom w:val="single" w:sz="4" w:space="0" w:color="auto"/>
            </w:tcBorders>
            <w:shd w:val="clear" w:color="auto" w:fill="auto"/>
            <w:vAlign w:val="center"/>
          </w:tcPr>
          <w:p w:rsidR="004425C9" w:rsidRPr="00ED0178" w:rsidRDefault="004425C9" w:rsidP="00BC5C2B">
            <w:pPr>
              <w:jc w:val="left"/>
              <w:rPr>
                <w:sz w:val="16"/>
                <w:szCs w:val="16"/>
              </w:rPr>
            </w:pPr>
            <w:r w:rsidRPr="00ED0178">
              <w:rPr>
                <w:sz w:val="16"/>
                <w:szCs w:val="16"/>
              </w:rPr>
              <w:t xml:space="preserve">Inspiration </w:t>
            </w:r>
          </w:p>
        </w:tc>
        <w:tc>
          <w:tcPr>
            <w:tcW w:w="1020" w:type="dxa"/>
            <w:tcBorders>
              <w:bottom w:val="single" w:sz="4" w:space="0" w:color="auto"/>
            </w:tcBorders>
            <w:vAlign w:val="center"/>
          </w:tcPr>
          <w:p w:rsidR="004425C9" w:rsidRPr="00ED0178" w:rsidRDefault="004425C9" w:rsidP="00BC5C2B">
            <w:pPr>
              <w:jc w:val="center"/>
              <w:rPr>
                <w:sz w:val="16"/>
                <w:szCs w:val="16"/>
              </w:rPr>
            </w:pPr>
            <w:r w:rsidRPr="00ED0178">
              <w:rPr>
                <w:sz w:val="16"/>
                <w:szCs w:val="16"/>
              </w:rPr>
              <w:t>*</w:t>
            </w:r>
          </w:p>
        </w:tc>
        <w:tc>
          <w:tcPr>
            <w:tcW w:w="3185" w:type="dxa"/>
            <w:gridSpan w:val="2"/>
            <w:tcBorders>
              <w:bottom w:val="single" w:sz="4" w:space="0" w:color="auto"/>
            </w:tcBorders>
            <w:vAlign w:val="center"/>
          </w:tcPr>
          <w:p w:rsidR="004425C9" w:rsidRPr="00ED0178" w:rsidRDefault="004425C9" w:rsidP="00BC5C2B">
            <w:pPr>
              <w:jc w:val="left"/>
              <w:rPr>
                <w:sz w:val="16"/>
                <w:szCs w:val="16"/>
              </w:rPr>
            </w:pPr>
            <w:r w:rsidRPr="00ED0178">
              <w:rPr>
                <w:sz w:val="16"/>
                <w:szCs w:val="16"/>
              </w:rPr>
              <w:t>Number/ frequency/ importance of art works</w:t>
            </w:r>
          </w:p>
        </w:tc>
        <w:tc>
          <w:tcPr>
            <w:tcW w:w="3969" w:type="dxa"/>
            <w:gridSpan w:val="2"/>
            <w:tcBorders>
              <w:bottom w:val="single" w:sz="4" w:space="0" w:color="auto"/>
            </w:tcBorders>
            <w:vAlign w:val="center"/>
          </w:tcPr>
          <w:p w:rsidR="004425C9" w:rsidRPr="00ED0178" w:rsidRDefault="004425C9" w:rsidP="00BC5C2B">
            <w:pPr>
              <w:jc w:val="left"/>
              <w:rPr>
                <w:sz w:val="16"/>
                <w:szCs w:val="16"/>
              </w:rPr>
            </w:pPr>
            <w:r w:rsidRPr="00ED0178">
              <w:rPr>
                <w:sz w:val="16"/>
                <w:szCs w:val="16"/>
              </w:rPr>
              <w:t xml:space="preserve">Prose, poetry, </w:t>
            </w:r>
            <w:r>
              <w:rPr>
                <w:sz w:val="16"/>
                <w:szCs w:val="16"/>
              </w:rPr>
              <w:t>visual and performing arts have all been inspired by the estuary</w:t>
            </w:r>
          </w:p>
        </w:tc>
        <w:tc>
          <w:tcPr>
            <w:tcW w:w="1962" w:type="dxa"/>
            <w:tcBorders>
              <w:bottom w:val="single" w:sz="4" w:space="0" w:color="auto"/>
            </w:tcBorders>
            <w:vAlign w:val="center"/>
          </w:tcPr>
          <w:p w:rsidR="004425C9" w:rsidRPr="00CE258D" w:rsidRDefault="004425C9" w:rsidP="00BC5C2B">
            <w:pPr>
              <w:jc w:val="left"/>
              <w:rPr>
                <w:sz w:val="16"/>
                <w:szCs w:val="16"/>
              </w:rPr>
            </w:pPr>
            <w:proofErr w:type="spellStart"/>
            <w:r w:rsidRPr="00CE258D">
              <w:rPr>
                <w:sz w:val="16"/>
                <w:szCs w:val="16"/>
              </w:rPr>
              <w:t>Appledore</w:t>
            </w:r>
            <w:proofErr w:type="spellEnd"/>
            <w:r w:rsidRPr="00CE258D">
              <w:rPr>
                <w:sz w:val="16"/>
                <w:szCs w:val="16"/>
              </w:rPr>
              <w:t xml:space="preserve"> Arts, 2010</w:t>
            </w:r>
          </w:p>
        </w:tc>
        <w:tc>
          <w:tcPr>
            <w:tcW w:w="1134" w:type="dxa"/>
            <w:tcBorders>
              <w:bottom w:val="single" w:sz="4" w:space="0" w:color="auto"/>
            </w:tcBorders>
            <w:vAlign w:val="center"/>
          </w:tcPr>
          <w:p w:rsidR="004425C9" w:rsidRPr="00ED0178" w:rsidRDefault="004425C9" w:rsidP="00BC5C2B">
            <w:pPr>
              <w:jc w:val="left"/>
              <w:rPr>
                <w:sz w:val="16"/>
                <w:szCs w:val="16"/>
              </w:rPr>
            </w:pPr>
            <w:r>
              <w:rPr>
                <w:sz w:val="16"/>
                <w:szCs w:val="16"/>
              </w:rPr>
              <w:t>Poor</w:t>
            </w:r>
          </w:p>
        </w:tc>
        <w:tc>
          <w:tcPr>
            <w:tcW w:w="1060" w:type="dxa"/>
            <w:gridSpan w:val="3"/>
            <w:tcBorders>
              <w:bottom w:val="single" w:sz="4" w:space="0" w:color="auto"/>
            </w:tcBorders>
            <w:vAlign w:val="center"/>
          </w:tcPr>
          <w:p w:rsidR="004425C9" w:rsidRPr="00D10275" w:rsidRDefault="004425C9" w:rsidP="00BC5C2B">
            <w:pPr>
              <w:jc w:val="center"/>
              <w:rPr>
                <w:sz w:val="16"/>
                <w:szCs w:val="16"/>
              </w:rPr>
            </w:pPr>
            <w:r w:rsidRPr="00D10275">
              <w:rPr>
                <w:sz w:val="16"/>
                <w:szCs w:val="16"/>
              </w:rPr>
              <w:t>+</w:t>
            </w:r>
            <w:r>
              <w:rPr>
                <w:sz w:val="18"/>
                <w:szCs w:val="18"/>
                <w:vertAlign w:val="superscript"/>
              </w:rPr>
              <w:t xml:space="preserve">5 </w:t>
            </w:r>
            <w:r w:rsidRPr="00D10275">
              <w:rPr>
                <w:sz w:val="16"/>
                <w:szCs w:val="16"/>
              </w:rPr>
              <w:t>/ –</w:t>
            </w:r>
            <w:r>
              <w:rPr>
                <w:sz w:val="18"/>
                <w:szCs w:val="18"/>
                <w:vertAlign w:val="superscript"/>
              </w:rPr>
              <w:t>6</w:t>
            </w:r>
          </w:p>
        </w:tc>
      </w:tr>
      <w:tr w:rsidR="004425C9" w:rsidRPr="00A17662" w:rsidTr="00BC5C2B">
        <w:trPr>
          <w:trHeight w:val="283"/>
          <w:jc w:val="center"/>
        </w:trPr>
        <w:tc>
          <w:tcPr>
            <w:tcW w:w="1871" w:type="dxa"/>
            <w:gridSpan w:val="2"/>
            <w:tcBorders>
              <w:top w:val="single" w:sz="12" w:space="0" w:color="auto"/>
            </w:tcBorders>
            <w:shd w:val="clear" w:color="auto" w:fill="auto"/>
            <w:vAlign w:val="center"/>
          </w:tcPr>
          <w:p w:rsidR="004425C9" w:rsidRPr="00A17662" w:rsidRDefault="004425C9" w:rsidP="00BC5C2B">
            <w:pPr>
              <w:tabs>
                <w:tab w:val="left" w:pos="256"/>
              </w:tabs>
              <w:jc w:val="left"/>
              <w:rPr>
                <w:b/>
                <w:i/>
                <w:sz w:val="16"/>
                <w:szCs w:val="16"/>
              </w:rPr>
            </w:pPr>
            <w:r>
              <w:rPr>
                <w:b/>
                <w:i/>
                <w:sz w:val="16"/>
                <w:szCs w:val="16"/>
              </w:rPr>
              <w:t xml:space="preserve">C. </w:t>
            </w:r>
            <w:r w:rsidRPr="00A17662">
              <w:rPr>
                <w:b/>
                <w:i/>
                <w:sz w:val="16"/>
                <w:szCs w:val="16"/>
              </w:rPr>
              <w:t>Indirect use</w:t>
            </w:r>
          </w:p>
        </w:tc>
        <w:tc>
          <w:tcPr>
            <w:tcW w:w="1020" w:type="dxa"/>
            <w:tcBorders>
              <w:top w:val="single" w:sz="12" w:space="0" w:color="auto"/>
            </w:tcBorders>
            <w:vAlign w:val="center"/>
          </w:tcPr>
          <w:p w:rsidR="004425C9" w:rsidRPr="00A17662" w:rsidRDefault="004425C9" w:rsidP="00BC5C2B">
            <w:pPr>
              <w:jc w:val="center"/>
              <w:rPr>
                <w:sz w:val="16"/>
                <w:szCs w:val="16"/>
              </w:rPr>
            </w:pPr>
          </w:p>
        </w:tc>
        <w:tc>
          <w:tcPr>
            <w:tcW w:w="3185" w:type="dxa"/>
            <w:gridSpan w:val="2"/>
            <w:tcBorders>
              <w:top w:val="single" w:sz="12" w:space="0" w:color="auto"/>
            </w:tcBorders>
            <w:vAlign w:val="center"/>
          </w:tcPr>
          <w:p w:rsidR="004425C9" w:rsidRPr="00A17662" w:rsidRDefault="004425C9" w:rsidP="00BC5C2B">
            <w:pPr>
              <w:jc w:val="left"/>
              <w:rPr>
                <w:sz w:val="16"/>
                <w:szCs w:val="16"/>
              </w:rPr>
            </w:pPr>
          </w:p>
        </w:tc>
        <w:tc>
          <w:tcPr>
            <w:tcW w:w="3969" w:type="dxa"/>
            <w:gridSpan w:val="2"/>
            <w:tcBorders>
              <w:top w:val="single" w:sz="12" w:space="0" w:color="auto"/>
            </w:tcBorders>
            <w:vAlign w:val="center"/>
          </w:tcPr>
          <w:p w:rsidR="004425C9" w:rsidRPr="00A17662" w:rsidRDefault="004425C9" w:rsidP="00BC5C2B">
            <w:pPr>
              <w:jc w:val="left"/>
              <w:rPr>
                <w:sz w:val="16"/>
                <w:szCs w:val="16"/>
              </w:rPr>
            </w:pPr>
          </w:p>
        </w:tc>
        <w:tc>
          <w:tcPr>
            <w:tcW w:w="1962" w:type="dxa"/>
            <w:tcBorders>
              <w:top w:val="single" w:sz="12" w:space="0" w:color="auto"/>
            </w:tcBorders>
            <w:vAlign w:val="center"/>
          </w:tcPr>
          <w:p w:rsidR="004425C9" w:rsidRPr="00CE258D" w:rsidRDefault="004425C9" w:rsidP="00BC5C2B">
            <w:pPr>
              <w:jc w:val="left"/>
              <w:rPr>
                <w:sz w:val="16"/>
                <w:szCs w:val="16"/>
              </w:rPr>
            </w:pPr>
          </w:p>
        </w:tc>
        <w:tc>
          <w:tcPr>
            <w:tcW w:w="1134" w:type="dxa"/>
            <w:tcBorders>
              <w:top w:val="single" w:sz="12" w:space="0" w:color="auto"/>
            </w:tcBorders>
          </w:tcPr>
          <w:p w:rsidR="004425C9" w:rsidRPr="00A17662" w:rsidRDefault="004425C9" w:rsidP="00BC5C2B">
            <w:pPr>
              <w:jc w:val="left"/>
              <w:rPr>
                <w:sz w:val="16"/>
                <w:szCs w:val="16"/>
              </w:rPr>
            </w:pPr>
          </w:p>
        </w:tc>
        <w:tc>
          <w:tcPr>
            <w:tcW w:w="1060" w:type="dxa"/>
            <w:gridSpan w:val="3"/>
            <w:tcBorders>
              <w:top w:val="single" w:sz="12" w:space="0" w:color="auto"/>
            </w:tcBorders>
            <w:vAlign w:val="center"/>
          </w:tcPr>
          <w:p w:rsidR="004425C9" w:rsidRPr="00A17662" w:rsidRDefault="004425C9" w:rsidP="00BC5C2B">
            <w:pPr>
              <w:jc w:val="center"/>
              <w:rPr>
                <w:sz w:val="16"/>
                <w:szCs w:val="16"/>
              </w:rPr>
            </w:pPr>
          </w:p>
        </w:tc>
      </w:tr>
      <w:tr w:rsidR="004425C9" w:rsidRPr="00AD33B9" w:rsidTr="00BC5C2B">
        <w:trPr>
          <w:trHeight w:val="227"/>
          <w:jc w:val="center"/>
        </w:trPr>
        <w:tc>
          <w:tcPr>
            <w:tcW w:w="1871" w:type="dxa"/>
            <w:gridSpan w:val="2"/>
            <w:shd w:val="clear" w:color="auto" w:fill="auto"/>
            <w:vAlign w:val="center"/>
          </w:tcPr>
          <w:p w:rsidR="004425C9" w:rsidRPr="003F062B" w:rsidRDefault="004425C9" w:rsidP="00BC5C2B">
            <w:pPr>
              <w:jc w:val="left"/>
              <w:rPr>
                <w:i/>
                <w:color w:val="FF0000"/>
                <w:sz w:val="16"/>
                <w:szCs w:val="16"/>
              </w:rPr>
            </w:pPr>
            <w:r w:rsidRPr="003F062B">
              <w:rPr>
                <w:i/>
                <w:sz w:val="16"/>
                <w:szCs w:val="16"/>
              </w:rPr>
              <w:t>Contaminant control</w:t>
            </w:r>
          </w:p>
        </w:tc>
        <w:tc>
          <w:tcPr>
            <w:tcW w:w="1020" w:type="dxa"/>
            <w:vAlign w:val="center"/>
          </w:tcPr>
          <w:p w:rsidR="004425C9" w:rsidRPr="00AD33B9" w:rsidRDefault="004425C9" w:rsidP="00BC5C2B">
            <w:pPr>
              <w:jc w:val="center"/>
              <w:rPr>
                <w:sz w:val="16"/>
                <w:szCs w:val="16"/>
              </w:rPr>
            </w:pPr>
          </w:p>
        </w:tc>
        <w:tc>
          <w:tcPr>
            <w:tcW w:w="3185" w:type="dxa"/>
            <w:gridSpan w:val="2"/>
            <w:vAlign w:val="center"/>
          </w:tcPr>
          <w:p w:rsidR="004425C9" w:rsidRPr="00AD33B9" w:rsidRDefault="004425C9" w:rsidP="00BC5C2B">
            <w:pPr>
              <w:jc w:val="left"/>
              <w:rPr>
                <w:sz w:val="16"/>
                <w:szCs w:val="16"/>
              </w:rPr>
            </w:pPr>
          </w:p>
        </w:tc>
        <w:tc>
          <w:tcPr>
            <w:tcW w:w="3969" w:type="dxa"/>
            <w:gridSpan w:val="2"/>
            <w:vAlign w:val="center"/>
          </w:tcPr>
          <w:p w:rsidR="004425C9" w:rsidRPr="00AD33B9" w:rsidRDefault="004425C9" w:rsidP="00BC5C2B">
            <w:pPr>
              <w:jc w:val="left"/>
              <w:rPr>
                <w:sz w:val="16"/>
                <w:szCs w:val="16"/>
              </w:rPr>
            </w:pPr>
          </w:p>
        </w:tc>
        <w:tc>
          <w:tcPr>
            <w:tcW w:w="1962" w:type="dxa"/>
            <w:vAlign w:val="center"/>
          </w:tcPr>
          <w:p w:rsidR="004425C9" w:rsidRPr="00CE258D" w:rsidRDefault="004425C9" w:rsidP="00BC5C2B">
            <w:pPr>
              <w:jc w:val="left"/>
              <w:rPr>
                <w:sz w:val="16"/>
                <w:szCs w:val="16"/>
              </w:rPr>
            </w:pPr>
          </w:p>
        </w:tc>
        <w:tc>
          <w:tcPr>
            <w:tcW w:w="1134" w:type="dxa"/>
          </w:tcPr>
          <w:p w:rsidR="004425C9" w:rsidRPr="00AD33B9" w:rsidRDefault="004425C9" w:rsidP="00BC5C2B">
            <w:pPr>
              <w:jc w:val="left"/>
              <w:rPr>
                <w:sz w:val="16"/>
                <w:szCs w:val="16"/>
              </w:rPr>
            </w:pPr>
          </w:p>
        </w:tc>
        <w:tc>
          <w:tcPr>
            <w:tcW w:w="1060" w:type="dxa"/>
            <w:gridSpan w:val="3"/>
            <w:vAlign w:val="center"/>
          </w:tcPr>
          <w:p w:rsidR="004425C9" w:rsidRPr="00AD33B9" w:rsidRDefault="004425C9" w:rsidP="00BC5C2B">
            <w:pPr>
              <w:jc w:val="center"/>
              <w:rPr>
                <w:sz w:val="16"/>
                <w:szCs w:val="16"/>
              </w:rPr>
            </w:pPr>
          </w:p>
        </w:tc>
      </w:tr>
      <w:tr w:rsidR="004425C9" w:rsidRPr="00AD33B9" w:rsidTr="00BC5C2B">
        <w:trPr>
          <w:trHeight w:val="368"/>
          <w:jc w:val="center"/>
        </w:trPr>
        <w:tc>
          <w:tcPr>
            <w:tcW w:w="1871" w:type="dxa"/>
            <w:gridSpan w:val="2"/>
            <w:shd w:val="clear" w:color="auto" w:fill="auto"/>
            <w:vAlign w:val="center"/>
          </w:tcPr>
          <w:p w:rsidR="004425C9" w:rsidRPr="00AD33B9" w:rsidRDefault="004425C9" w:rsidP="00BC5C2B">
            <w:pPr>
              <w:jc w:val="left"/>
              <w:rPr>
                <w:sz w:val="16"/>
                <w:szCs w:val="16"/>
              </w:rPr>
            </w:pPr>
            <w:r>
              <w:rPr>
                <w:sz w:val="16"/>
                <w:szCs w:val="16"/>
              </w:rPr>
              <w:t>Water quality regulation</w:t>
            </w:r>
          </w:p>
        </w:tc>
        <w:tc>
          <w:tcPr>
            <w:tcW w:w="1020" w:type="dxa"/>
            <w:vAlign w:val="center"/>
          </w:tcPr>
          <w:p w:rsidR="004425C9" w:rsidRPr="00AD33B9" w:rsidRDefault="004425C9" w:rsidP="00BC5C2B">
            <w:pPr>
              <w:jc w:val="center"/>
              <w:rPr>
                <w:sz w:val="16"/>
                <w:szCs w:val="16"/>
              </w:rPr>
            </w:pPr>
            <w:r w:rsidRPr="00AD33B9">
              <w:rPr>
                <w:sz w:val="16"/>
                <w:szCs w:val="16"/>
              </w:rPr>
              <w:t>***</w:t>
            </w:r>
          </w:p>
        </w:tc>
        <w:tc>
          <w:tcPr>
            <w:tcW w:w="3185" w:type="dxa"/>
            <w:gridSpan w:val="2"/>
            <w:vMerge w:val="restart"/>
            <w:vAlign w:val="center"/>
          </w:tcPr>
          <w:p w:rsidR="004425C9" w:rsidRPr="00C22927" w:rsidRDefault="004425C9" w:rsidP="00BC5C2B">
            <w:pPr>
              <w:jc w:val="left"/>
              <w:rPr>
                <w:sz w:val="16"/>
                <w:szCs w:val="16"/>
              </w:rPr>
            </w:pPr>
            <w:r w:rsidRPr="00C22927">
              <w:rPr>
                <w:sz w:val="16"/>
                <w:szCs w:val="16"/>
              </w:rPr>
              <w:t>Frequency and severity of contaminant inciden</w:t>
            </w:r>
            <w:r>
              <w:rPr>
                <w:sz w:val="16"/>
                <w:szCs w:val="16"/>
              </w:rPr>
              <w:t>ts compared to threshold</w:t>
            </w:r>
          </w:p>
        </w:tc>
        <w:tc>
          <w:tcPr>
            <w:tcW w:w="3969" w:type="dxa"/>
            <w:gridSpan w:val="2"/>
            <w:vAlign w:val="center"/>
          </w:tcPr>
          <w:p w:rsidR="004425C9" w:rsidRPr="00C22927" w:rsidRDefault="004425C9" w:rsidP="00BC5C2B">
            <w:pPr>
              <w:jc w:val="left"/>
              <w:rPr>
                <w:sz w:val="16"/>
                <w:szCs w:val="16"/>
              </w:rPr>
            </w:pPr>
            <w:r>
              <w:rPr>
                <w:sz w:val="16"/>
                <w:szCs w:val="16"/>
              </w:rPr>
              <w:t xml:space="preserve">High levels of </w:t>
            </w:r>
            <w:r>
              <w:rPr>
                <w:i/>
                <w:sz w:val="16"/>
                <w:szCs w:val="16"/>
              </w:rPr>
              <w:t>E. coli</w:t>
            </w:r>
            <w:r>
              <w:rPr>
                <w:sz w:val="16"/>
                <w:szCs w:val="16"/>
              </w:rPr>
              <w:t xml:space="preserve"> result in the regular downgrading of shellfish beds. 75% of bathing water quality ratings were poor between 1990 and 2010.</w:t>
            </w:r>
          </w:p>
        </w:tc>
        <w:tc>
          <w:tcPr>
            <w:tcW w:w="1962" w:type="dxa"/>
            <w:vAlign w:val="center"/>
          </w:tcPr>
          <w:p w:rsidR="004425C9" w:rsidRPr="00CE258D" w:rsidRDefault="004425C9" w:rsidP="00BC5C2B">
            <w:pPr>
              <w:jc w:val="left"/>
              <w:rPr>
                <w:sz w:val="16"/>
                <w:szCs w:val="16"/>
              </w:rPr>
            </w:pPr>
            <w:r w:rsidRPr="002842DB">
              <w:rPr>
                <w:color w:val="000000"/>
                <w:sz w:val="16"/>
                <w:szCs w:val="16"/>
              </w:rPr>
              <w:t xml:space="preserve">UK National Reference </w:t>
            </w:r>
            <w:r w:rsidRPr="002842DB">
              <w:rPr>
                <w:rStyle w:val="Strong"/>
                <w:b w:val="0"/>
                <w:color w:val="000000"/>
                <w:sz w:val="16"/>
                <w:szCs w:val="16"/>
              </w:rPr>
              <w:t>Laboratory</w:t>
            </w:r>
            <w:r w:rsidRPr="002842DB">
              <w:rPr>
                <w:sz w:val="16"/>
                <w:szCs w:val="16"/>
              </w:rPr>
              <w:t>,</w:t>
            </w:r>
            <w:r w:rsidRPr="00CE258D">
              <w:rPr>
                <w:sz w:val="16"/>
                <w:szCs w:val="16"/>
              </w:rPr>
              <w:t xml:space="preserve"> unpublished data</w:t>
            </w:r>
            <w:r>
              <w:rPr>
                <w:sz w:val="16"/>
                <w:szCs w:val="16"/>
              </w:rPr>
              <w:t>; Environment Agency, 2010</w:t>
            </w:r>
          </w:p>
        </w:tc>
        <w:tc>
          <w:tcPr>
            <w:tcW w:w="1134" w:type="dxa"/>
            <w:vAlign w:val="center"/>
          </w:tcPr>
          <w:p w:rsidR="004425C9" w:rsidRPr="00AD33B9" w:rsidRDefault="004425C9" w:rsidP="00BC5C2B">
            <w:pPr>
              <w:jc w:val="left"/>
              <w:rPr>
                <w:sz w:val="16"/>
                <w:szCs w:val="16"/>
              </w:rPr>
            </w:pPr>
            <w:r>
              <w:rPr>
                <w:sz w:val="16"/>
                <w:szCs w:val="16"/>
              </w:rPr>
              <w:t>Good</w:t>
            </w:r>
          </w:p>
        </w:tc>
        <w:tc>
          <w:tcPr>
            <w:tcW w:w="1060" w:type="dxa"/>
            <w:gridSpan w:val="3"/>
            <w:vAlign w:val="center"/>
          </w:tcPr>
          <w:p w:rsidR="004425C9" w:rsidRPr="00AD33B9" w:rsidRDefault="004425C9" w:rsidP="00BC5C2B">
            <w:pPr>
              <w:jc w:val="center"/>
              <w:rPr>
                <w:sz w:val="16"/>
                <w:szCs w:val="16"/>
              </w:rPr>
            </w:pPr>
            <w:r w:rsidRPr="00AD33B9">
              <w:rPr>
                <w:sz w:val="16"/>
                <w:szCs w:val="16"/>
              </w:rPr>
              <w:t>–  –  –</w:t>
            </w:r>
          </w:p>
        </w:tc>
      </w:tr>
      <w:tr w:rsidR="004425C9" w:rsidRPr="00AD33B9" w:rsidTr="00BC5C2B">
        <w:trPr>
          <w:trHeight w:val="368"/>
          <w:jc w:val="center"/>
        </w:trPr>
        <w:tc>
          <w:tcPr>
            <w:tcW w:w="1871" w:type="dxa"/>
            <w:gridSpan w:val="2"/>
            <w:shd w:val="clear" w:color="auto" w:fill="auto"/>
            <w:vAlign w:val="center"/>
          </w:tcPr>
          <w:p w:rsidR="004425C9" w:rsidRPr="00AD33B9" w:rsidRDefault="004425C9" w:rsidP="00BC5C2B">
            <w:pPr>
              <w:jc w:val="left"/>
              <w:rPr>
                <w:sz w:val="16"/>
                <w:szCs w:val="16"/>
              </w:rPr>
            </w:pPr>
            <w:r w:rsidRPr="00AD33B9">
              <w:rPr>
                <w:sz w:val="16"/>
                <w:szCs w:val="16"/>
              </w:rPr>
              <w:t>Air quality regulation</w:t>
            </w:r>
          </w:p>
        </w:tc>
        <w:tc>
          <w:tcPr>
            <w:tcW w:w="1020" w:type="dxa"/>
            <w:shd w:val="clear" w:color="auto" w:fill="auto"/>
            <w:vAlign w:val="center"/>
          </w:tcPr>
          <w:p w:rsidR="004425C9" w:rsidRPr="00AD33B9" w:rsidRDefault="004425C9" w:rsidP="00BC5C2B">
            <w:pPr>
              <w:jc w:val="center"/>
              <w:rPr>
                <w:sz w:val="16"/>
                <w:szCs w:val="16"/>
              </w:rPr>
            </w:pPr>
            <w:r w:rsidRPr="00AD33B9">
              <w:rPr>
                <w:sz w:val="16"/>
                <w:szCs w:val="16"/>
              </w:rPr>
              <w:t>*</w:t>
            </w:r>
          </w:p>
        </w:tc>
        <w:tc>
          <w:tcPr>
            <w:tcW w:w="3185" w:type="dxa"/>
            <w:gridSpan w:val="2"/>
            <w:vMerge/>
            <w:vAlign w:val="center"/>
          </w:tcPr>
          <w:p w:rsidR="004425C9" w:rsidRPr="00C22927" w:rsidRDefault="004425C9" w:rsidP="00BC5C2B">
            <w:pPr>
              <w:jc w:val="left"/>
              <w:rPr>
                <w:sz w:val="16"/>
                <w:szCs w:val="16"/>
              </w:rPr>
            </w:pPr>
          </w:p>
        </w:tc>
        <w:tc>
          <w:tcPr>
            <w:tcW w:w="3969" w:type="dxa"/>
            <w:gridSpan w:val="2"/>
            <w:vAlign w:val="center"/>
          </w:tcPr>
          <w:p w:rsidR="004425C9" w:rsidRPr="00AD33B9" w:rsidRDefault="004425C9" w:rsidP="00BC5C2B">
            <w:pPr>
              <w:jc w:val="left"/>
              <w:rPr>
                <w:sz w:val="16"/>
                <w:szCs w:val="16"/>
              </w:rPr>
            </w:pPr>
            <w:r>
              <w:rPr>
                <w:sz w:val="16"/>
                <w:szCs w:val="16"/>
              </w:rPr>
              <w:t>Unknown</w:t>
            </w:r>
          </w:p>
        </w:tc>
        <w:tc>
          <w:tcPr>
            <w:tcW w:w="1962" w:type="dxa"/>
            <w:vAlign w:val="center"/>
          </w:tcPr>
          <w:p w:rsidR="004425C9" w:rsidRPr="00CE258D" w:rsidRDefault="004425C9" w:rsidP="00BC5C2B">
            <w:pPr>
              <w:jc w:val="left"/>
              <w:rPr>
                <w:sz w:val="16"/>
                <w:szCs w:val="16"/>
              </w:rPr>
            </w:pPr>
          </w:p>
        </w:tc>
        <w:tc>
          <w:tcPr>
            <w:tcW w:w="1134" w:type="dxa"/>
            <w:vAlign w:val="center"/>
          </w:tcPr>
          <w:p w:rsidR="004425C9" w:rsidRPr="00AD33B9" w:rsidRDefault="004425C9" w:rsidP="00BC5C2B">
            <w:pPr>
              <w:jc w:val="left"/>
              <w:rPr>
                <w:sz w:val="16"/>
                <w:szCs w:val="16"/>
              </w:rPr>
            </w:pPr>
            <w:r>
              <w:rPr>
                <w:sz w:val="16"/>
                <w:szCs w:val="16"/>
              </w:rPr>
              <w:t>Poor</w:t>
            </w:r>
          </w:p>
        </w:tc>
        <w:tc>
          <w:tcPr>
            <w:tcW w:w="1060" w:type="dxa"/>
            <w:gridSpan w:val="3"/>
            <w:vAlign w:val="center"/>
          </w:tcPr>
          <w:p w:rsidR="004425C9" w:rsidRPr="00AD33B9" w:rsidRDefault="004425C9" w:rsidP="00BC5C2B">
            <w:pPr>
              <w:jc w:val="center"/>
              <w:rPr>
                <w:sz w:val="16"/>
                <w:szCs w:val="16"/>
              </w:rPr>
            </w:pPr>
            <w:r w:rsidRPr="00AD33B9">
              <w:rPr>
                <w:sz w:val="16"/>
                <w:szCs w:val="16"/>
              </w:rPr>
              <w:t>0</w:t>
            </w:r>
          </w:p>
        </w:tc>
      </w:tr>
      <w:tr w:rsidR="004425C9" w:rsidRPr="00A17662" w:rsidTr="00BC5C2B">
        <w:trPr>
          <w:trHeight w:val="227"/>
          <w:jc w:val="center"/>
        </w:trPr>
        <w:tc>
          <w:tcPr>
            <w:tcW w:w="1871" w:type="dxa"/>
            <w:gridSpan w:val="2"/>
            <w:tcBorders>
              <w:top w:val="single" w:sz="4" w:space="0" w:color="auto"/>
            </w:tcBorders>
            <w:shd w:val="clear" w:color="auto" w:fill="auto"/>
            <w:vAlign w:val="center"/>
          </w:tcPr>
          <w:p w:rsidR="004425C9" w:rsidRPr="00A17662" w:rsidRDefault="004425C9" w:rsidP="00BC5C2B">
            <w:pPr>
              <w:jc w:val="left"/>
              <w:rPr>
                <w:i/>
                <w:sz w:val="16"/>
                <w:szCs w:val="16"/>
              </w:rPr>
            </w:pPr>
            <w:r w:rsidRPr="00A17662">
              <w:rPr>
                <w:i/>
                <w:sz w:val="16"/>
                <w:szCs w:val="16"/>
              </w:rPr>
              <w:t>Disturbance prevention</w:t>
            </w:r>
          </w:p>
        </w:tc>
        <w:tc>
          <w:tcPr>
            <w:tcW w:w="1020" w:type="dxa"/>
            <w:tcBorders>
              <w:top w:val="single" w:sz="4" w:space="0" w:color="auto"/>
            </w:tcBorders>
            <w:vAlign w:val="center"/>
          </w:tcPr>
          <w:p w:rsidR="004425C9" w:rsidRPr="00A17662" w:rsidRDefault="004425C9" w:rsidP="00BC5C2B">
            <w:pPr>
              <w:jc w:val="center"/>
              <w:rPr>
                <w:sz w:val="16"/>
                <w:szCs w:val="16"/>
              </w:rPr>
            </w:pPr>
          </w:p>
        </w:tc>
        <w:tc>
          <w:tcPr>
            <w:tcW w:w="3185" w:type="dxa"/>
            <w:gridSpan w:val="2"/>
            <w:tcBorders>
              <w:top w:val="single" w:sz="4" w:space="0" w:color="auto"/>
            </w:tcBorders>
            <w:vAlign w:val="center"/>
          </w:tcPr>
          <w:p w:rsidR="004425C9" w:rsidRPr="00C22927" w:rsidRDefault="004425C9" w:rsidP="00BC5C2B">
            <w:pPr>
              <w:jc w:val="left"/>
              <w:rPr>
                <w:sz w:val="16"/>
                <w:szCs w:val="16"/>
              </w:rPr>
            </w:pPr>
          </w:p>
        </w:tc>
        <w:tc>
          <w:tcPr>
            <w:tcW w:w="3969" w:type="dxa"/>
            <w:gridSpan w:val="2"/>
            <w:tcBorders>
              <w:top w:val="single" w:sz="4" w:space="0" w:color="auto"/>
            </w:tcBorders>
            <w:vAlign w:val="center"/>
          </w:tcPr>
          <w:p w:rsidR="004425C9" w:rsidRPr="00A17662" w:rsidRDefault="004425C9" w:rsidP="00BC5C2B">
            <w:pPr>
              <w:jc w:val="left"/>
              <w:rPr>
                <w:sz w:val="16"/>
                <w:szCs w:val="16"/>
              </w:rPr>
            </w:pPr>
          </w:p>
        </w:tc>
        <w:tc>
          <w:tcPr>
            <w:tcW w:w="1962" w:type="dxa"/>
            <w:tcBorders>
              <w:top w:val="single" w:sz="4" w:space="0" w:color="auto"/>
            </w:tcBorders>
            <w:vAlign w:val="center"/>
          </w:tcPr>
          <w:p w:rsidR="004425C9" w:rsidRPr="00CE258D" w:rsidRDefault="004425C9" w:rsidP="00BC5C2B">
            <w:pPr>
              <w:jc w:val="left"/>
              <w:rPr>
                <w:sz w:val="16"/>
                <w:szCs w:val="16"/>
              </w:rPr>
            </w:pPr>
          </w:p>
        </w:tc>
        <w:tc>
          <w:tcPr>
            <w:tcW w:w="1134" w:type="dxa"/>
            <w:tcBorders>
              <w:top w:val="single" w:sz="4" w:space="0" w:color="auto"/>
            </w:tcBorders>
          </w:tcPr>
          <w:p w:rsidR="004425C9" w:rsidRPr="00A17662" w:rsidRDefault="004425C9" w:rsidP="00BC5C2B">
            <w:pPr>
              <w:jc w:val="left"/>
              <w:rPr>
                <w:sz w:val="16"/>
                <w:szCs w:val="16"/>
              </w:rPr>
            </w:pPr>
          </w:p>
        </w:tc>
        <w:tc>
          <w:tcPr>
            <w:tcW w:w="1060" w:type="dxa"/>
            <w:gridSpan w:val="3"/>
            <w:tcBorders>
              <w:top w:val="single" w:sz="4" w:space="0" w:color="auto"/>
            </w:tcBorders>
            <w:vAlign w:val="center"/>
          </w:tcPr>
          <w:p w:rsidR="004425C9" w:rsidRPr="00A17662" w:rsidRDefault="004425C9" w:rsidP="00BC5C2B">
            <w:pPr>
              <w:jc w:val="center"/>
              <w:rPr>
                <w:sz w:val="16"/>
                <w:szCs w:val="16"/>
              </w:rPr>
            </w:pPr>
          </w:p>
        </w:tc>
      </w:tr>
      <w:tr w:rsidR="004425C9" w:rsidRPr="000C62A8" w:rsidTr="00BC5C2B">
        <w:trPr>
          <w:trHeight w:val="283"/>
          <w:jc w:val="center"/>
        </w:trPr>
        <w:tc>
          <w:tcPr>
            <w:tcW w:w="1871" w:type="dxa"/>
            <w:gridSpan w:val="2"/>
            <w:shd w:val="clear" w:color="auto" w:fill="auto"/>
            <w:vAlign w:val="center"/>
          </w:tcPr>
          <w:p w:rsidR="004425C9" w:rsidRPr="00AF1740" w:rsidRDefault="004425C9" w:rsidP="00BC5C2B">
            <w:pPr>
              <w:jc w:val="left"/>
              <w:rPr>
                <w:sz w:val="16"/>
                <w:szCs w:val="16"/>
              </w:rPr>
            </w:pPr>
            <w:r w:rsidRPr="00AF1740">
              <w:rPr>
                <w:sz w:val="16"/>
                <w:szCs w:val="16"/>
              </w:rPr>
              <w:t xml:space="preserve">Flood control </w:t>
            </w:r>
          </w:p>
        </w:tc>
        <w:tc>
          <w:tcPr>
            <w:tcW w:w="1020" w:type="dxa"/>
            <w:vAlign w:val="center"/>
          </w:tcPr>
          <w:p w:rsidR="004425C9" w:rsidRPr="00AF1740" w:rsidRDefault="004425C9" w:rsidP="00BC5C2B">
            <w:pPr>
              <w:jc w:val="center"/>
              <w:rPr>
                <w:sz w:val="16"/>
                <w:szCs w:val="16"/>
              </w:rPr>
            </w:pPr>
            <w:r w:rsidRPr="00AF1740">
              <w:rPr>
                <w:sz w:val="16"/>
                <w:szCs w:val="16"/>
              </w:rPr>
              <w:t>***</w:t>
            </w:r>
          </w:p>
        </w:tc>
        <w:tc>
          <w:tcPr>
            <w:tcW w:w="3185" w:type="dxa"/>
            <w:gridSpan w:val="2"/>
            <w:vAlign w:val="center"/>
          </w:tcPr>
          <w:p w:rsidR="004425C9" w:rsidRPr="00C22927" w:rsidRDefault="004425C9" w:rsidP="00BC5C2B">
            <w:pPr>
              <w:jc w:val="left"/>
              <w:rPr>
                <w:sz w:val="16"/>
                <w:szCs w:val="16"/>
              </w:rPr>
            </w:pPr>
            <w:r w:rsidRPr="00C22927">
              <w:rPr>
                <w:sz w:val="16"/>
                <w:szCs w:val="16"/>
              </w:rPr>
              <w:t>Number of properties flooded and frequency of events</w:t>
            </w:r>
            <w:r>
              <w:rPr>
                <w:sz w:val="16"/>
                <w:szCs w:val="16"/>
              </w:rPr>
              <w:t xml:space="preserve"> compared to threshold</w:t>
            </w:r>
          </w:p>
        </w:tc>
        <w:tc>
          <w:tcPr>
            <w:tcW w:w="3969" w:type="dxa"/>
            <w:gridSpan w:val="2"/>
            <w:vMerge w:val="restart"/>
            <w:vAlign w:val="center"/>
          </w:tcPr>
          <w:p w:rsidR="004425C9" w:rsidRPr="00ED0178" w:rsidRDefault="004425C9" w:rsidP="00BC5C2B">
            <w:pPr>
              <w:jc w:val="left"/>
              <w:rPr>
                <w:color w:val="C00000"/>
                <w:sz w:val="16"/>
                <w:szCs w:val="16"/>
              </w:rPr>
            </w:pPr>
            <w:r w:rsidRPr="00AF1740">
              <w:rPr>
                <w:sz w:val="16"/>
                <w:szCs w:val="16"/>
              </w:rPr>
              <w:t>The</w:t>
            </w:r>
            <w:r>
              <w:rPr>
                <w:sz w:val="16"/>
                <w:szCs w:val="16"/>
              </w:rPr>
              <w:t>re is some degree of manmade flood defence along almost the entire length of the estuary, and so the</w:t>
            </w:r>
            <w:r w:rsidRPr="00AF1740">
              <w:rPr>
                <w:sz w:val="16"/>
                <w:szCs w:val="16"/>
              </w:rPr>
              <w:t xml:space="preserve"> </w:t>
            </w:r>
            <w:r>
              <w:rPr>
                <w:sz w:val="16"/>
                <w:szCs w:val="16"/>
              </w:rPr>
              <w:t>role of the ecosystem has probably been superseded.</w:t>
            </w:r>
          </w:p>
        </w:tc>
        <w:tc>
          <w:tcPr>
            <w:tcW w:w="1962" w:type="dxa"/>
            <w:vMerge w:val="restart"/>
            <w:vAlign w:val="center"/>
          </w:tcPr>
          <w:p w:rsidR="004425C9" w:rsidRPr="00CE258D" w:rsidRDefault="004425C9" w:rsidP="00BC5C2B">
            <w:pPr>
              <w:jc w:val="left"/>
              <w:rPr>
                <w:sz w:val="16"/>
                <w:szCs w:val="16"/>
              </w:rPr>
            </w:pPr>
            <w:r w:rsidRPr="00CE258D">
              <w:rPr>
                <w:rFonts w:eastAsia="Calibri"/>
                <w:sz w:val="16"/>
                <w:szCs w:val="16"/>
                <w:lang w:eastAsia="en-GB"/>
              </w:rPr>
              <w:t>NDC &amp; TDC. 2009a,b; TTEP, 1998</w:t>
            </w:r>
          </w:p>
        </w:tc>
        <w:tc>
          <w:tcPr>
            <w:tcW w:w="1134" w:type="dxa"/>
            <w:vAlign w:val="center"/>
          </w:tcPr>
          <w:p w:rsidR="004425C9" w:rsidRPr="00AF1740" w:rsidRDefault="004425C9" w:rsidP="00BC5C2B">
            <w:pPr>
              <w:jc w:val="left"/>
              <w:rPr>
                <w:sz w:val="16"/>
                <w:szCs w:val="16"/>
              </w:rPr>
            </w:pPr>
            <w:r>
              <w:rPr>
                <w:sz w:val="16"/>
                <w:szCs w:val="16"/>
              </w:rPr>
              <w:t>Good</w:t>
            </w:r>
          </w:p>
        </w:tc>
        <w:tc>
          <w:tcPr>
            <w:tcW w:w="1060" w:type="dxa"/>
            <w:gridSpan w:val="3"/>
            <w:vAlign w:val="center"/>
          </w:tcPr>
          <w:p w:rsidR="004425C9" w:rsidRPr="00ED0178" w:rsidRDefault="004425C9" w:rsidP="00BC5C2B">
            <w:pPr>
              <w:jc w:val="center"/>
              <w:rPr>
                <w:sz w:val="16"/>
                <w:szCs w:val="16"/>
              </w:rPr>
            </w:pPr>
            <w:r w:rsidRPr="00ED0178">
              <w:rPr>
                <w:sz w:val="16"/>
                <w:szCs w:val="16"/>
              </w:rPr>
              <w:t>+ + +</w:t>
            </w:r>
            <w:r w:rsidRPr="00ED0178">
              <w:rPr>
                <w:sz w:val="18"/>
                <w:szCs w:val="18"/>
                <w:vertAlign w:val="superscript"/>
              </w:rPr>
              <w:t>7</w:t>
            </w:r>
            <w:r w:rsidRPr="00ED0178">
              <w:rPr>
                <w:sz w:val="16"/>
                <w:szCs w:val="16"/>
              </w:rPr>
              <w:t xml:space="preserve"> / –</w:t>
            </w:r>
            <w:r w:rsidRPr="00ED0178">
              <w:rPr>
                <w:sz w:val="18"/>
                <w:szCs w:val="18"/>
                <w:vertAlign w:val="superscript"/>
              </w:rPr>
              <w:t>8</w:t>
            </w:r>
          </w:p>
        </w:tc>
      </w:tr>
      <w:tr w:rsidR="004425C9" w:rsidRPr="00AF1740" w:rsidTr="00BC5C2B">
        <w:trPr>
          <w:trHeight w:val="283"/>
          <w:jc w:val="center"/>
        </w:trPr>
        <w:tc>
          <w:tcPr>
            <w:tcW w:w="1871" w:type="dxa"/>
            <w:gridSpan w:val="2"/>
            <w:shd w:val="clear" w:color="auto" w:fill="auto"/>
            <w:vAlign w:val="center"/>
          </w:tcPr>
          <w:p w:rsidR="004425C9" w:rsidRPr="00AF1740" w:rsidRDefault="004425C9" w:rsidP="00BC5C2B">
            <w:pPr>
              <w:jc w:val="left"/>
              <w:rPr>
                <w:sz w:val="16"/>
                <w:szCs w:val="16"/>
              </w:rPr>
            </w:pPr>
            <w:r w:rsidRPr="00AF1740">
              <w:rPr>
                <w:sz w:val="16"/>
                <w:szCs w:val="16"/>
              </w:rPr>
              <w:t xml:space="preserve">Erosion control </w:t>
            </w:r>
          </w:p>
        </w:tc>
        <w:tc>
          <w:tcPr>
            <w:tcW w:w="1020" w:type="dxa"/>
            <w:vAlign w:val="center"/>
          </w:tcPr>
          <w:p w:rsidR="004425C9" w:rsidRPr="00AF1740" w:rsidRDefault="004425C9" w:rsidP="00BC5C2B">
            <w:pPr>
              <w:jc w:val="center"/>
              <w:rPr>
                <w:sz w:val="16"/>
                <w:szCs w:val="16"/>
              </w:rPr>
            </w:pPr>
            <w:r w:rsidRPr="00AF1740">
              <w:rPr>
                <w:sz w:val="16"/>
                <w:szCs w:val="16"/>
              </w:rPr>
              <w:t>*</w:t>
            </w:r>
          </w:p>
        </w:tc>
        <w:tc>
          <w:tcPr>
            <w:tcW w:w="3185" w:type="dxa"/>
            <w:gridSpan w:val="2"/>
            <w:vAlign w:val="center"/>
          </w:tcPr>
          <w:p w:rsidR="004425C9" w:rsidRPr="00C22927" w:rsidRDefault="004425C9" w:rsidP="00BC5C2B">
            <w:pPr>
              <w:jc w:val="left"/>
              <w:rPr>
                <w:sz w:val="16"/>
                <w:szCs w:val="16"/>
              </w:rPr>
            </w:pPr>
            <w:r>
              <w:rPr>
                <w:sz w:val="16"/>
                <w:szCs w:val="16"/>
              </w:rPr>
              <w:t>A</w:t>
            </w:r>
            <w:r w:rsidRPr="00C22927">
              <w:rPr>
                <w:sz w:val="16"/>
                <w:szCs w:val="16"/>
              </w:rPr>
              <w:t>rea of land lost</w:t>
            </w:r>
            <w:r>
              <w:rPr>
                <w:sz w:val="16"/>
                <w:szCs w:val="16"/>
              </w:rPr>
              <w:t xml:space="preserve"> compared to threshold</w:t>
            </w:r>
          </w:p>
        </w:tc>
        <w:tc>
          <w:tcPr>
            <w:tcW w:w="3969" w:type="dxa"/>
            <w:gridSpan w:val="2"/>
            <w:vMerge/>
            <w:vAlign w:val="center"/>
          </w:tcPr>
          <w:p w:rsidR="004425C9" w:rsidRPr="00AF1740" w:rsidRDefault="004425C9" w:rsidP="00BC5C2B">
            <w:pPr>
              <w:jc w:val="left"/>
              <w:rPr>
                <w:sz w:val="16"/>
                <w:szCs w:val="16"/>
              </w:rPr>
            </w:pPr>
          </w:p>
        </w:tc>
        <w:tc>
          <w:tcPr>
            <w:tcW w:w="1962" w:type="dxa"/>
            <w:vMerge/>
            <w:vAlign w:val="center"/>
          </w:tcPr>
          <w:p w:rsidR="004425C9" w:rsidRPr="00CE258D" w:rsidRDefault="004425C9" w:rsidP="00BC5C2B">
            <w:pPr>
              <w:jc w:val="left"/>
              <w:rPr>
                <w:sz w:val="16"/>
                <w:szCs w:val="16"/>
              </w:rPr>
            </w:pPr>
          </w:p>
        </w:tc>
        <w:tc>
          <w:tcPr>
            <w:tcW w:w="1134" w:type="dxa"/>
            <w:vAlign w:val="center"/>
          </w:tcPr>
          <w:p w:rsidR="004425C9" w:rsidRPr="00ED0178" w:rsidRDefault="004425C9" w:rsidP="00BC5C2B">
            <w:pPr>
              <w:jc w:val="left"/>
              <w:rPr>
                <w:sz w:val="16"/>
                <w:szCs w:val="16"/>
              </w:rPr>
            </w:pPr>
            <w:r>
              <w:rPr>
                <w:sz w:val="16"/>
                <w:szCs w:val="16"/>
              </w:rPr>
              <w:t>Good</w:t>
            </w:r>
          </w:p>
        </w:tc>
        <w:tc>
          <w:tcPr>
            <w:tcW w:w="1060" w:type="dxa"/>
            <w:gridSpan w:val="3"/>
            <w:vAlign w:val="center"/>
          </w:tcPr>
          <w:p w:rsidR="004425C9" w:rsidRPr="00AF1740" w:rsidRDefault="004425C9" w:rsidP="00BC5C2B">
            <w:pPr>
              <w:jc w:val="center"/>
              <w:rPr>
                <w:sz w:val="16"/>
                <w:szCs w:val="16"/>
              </w:rPr>
            </w:pPr>
            <w:r>
              <w:rPr>
                <w:sz w:val="18"/>
                <w:szCs w:val="18"/>
              </w:rPr>
              <w:t>+</w:t>
            </w:r>
            <w:r w:rsidRPr="00AF1740">
              <w:rPr>
                <w:sz w:val="18"/>
                <w:szCs w:val="18"/>
                <w:vertAlign w:val="superscript"/>
              </w:rPr>
              <w:t>9</w:t>
            </w:r>
            <w:r w:rsidRPr="00AF1740">
              <w:rPr>
                <w:sz w:val="16"/>
                <w:szCs w:val="16"/>
              </w:rPr>
              <w:t xml:space="preserve"> / –</w:t>
            </w:r>
            <w:r w:rsidRPr="00AF1740">
              <w:rPr>
                <w:sz w:val="18"/>
                <w:szCs w:val="18"/>
                <w:vertAlign w:val="superscript"/>
              </w:rPr>
              <w:t>10</w:t>
            </w:r>
          </w:p>
        </w:tc>
      </w:tr>
      <w:tr w:rsidR="004425C9" w:rsidRPr="00AD33B9" w:rsidTr="00BC5C2B">
        <w:trPr>
          <w:trHeight w:val="283"/>
          <w:jc w:val="center"/>
        </w:trPr>
        <w:tc>
          <w:tcPr>
            <w:tcW w:w="1871" w:type="dxa"/>
            <w:gridSpan w:val="2"/>
            <w:tcBorders>
              <w:bottom w:val="single" w:sz="12" w:space="0" w:color="auto"/>
            </w:tcBorders>
            <w:shd w:val="clear" w:color="auto" w:fill="auto"/>
            <w:vAlign w:val="center"/>
          </w:tcPr>
          <w:p w:rsidR="004425C9" w:rsidRPr="00AD33B9" w:rsidRDefault="004425C9" w:rsidP="00BC5C2B">
            <w:pPr>
              <w:jc w:val="left"/>
              <w:rPr>
                <w:sz w:val="16"/>
                <w:szCs w:val="16"/>
              </w:rPr>
            </w:pPr>
            <w:r w:rsidRPr="00AD33B9">
              <w:rPr>
                <w:sz w:val="16"/>
                <w:szCs w:val="16"/>
              </w:rPr>
              <w:t>Climate/weather regulation</w:t>
            </w:r>
          </w:p>
        </w:tc>
        <w:tc>
          <w:tcPr>
            <w:tcW w:w="1020" w:type="dxa"/>
            <w:tcBorders>
              <w:bottom w:val="single" w:sz="12" w:space="0" w:color="auto"/>
            </w:tcBorders>
            <w:shd w:val="clear" w:color="auto" w:fill="auto"/>
            <w:vAlign w:val="center"/>
          </w:tcPr>
          <w:p w:rsidR="004425C9" w:rsidRPr="00AD33B9" w:rsidRDefault="004425C9" w:rsidP="00BC5C2B">
            <w:pPr>
              <w:jc w:val="center"/>
              <w:rPr>
                <w:sz w:val="16"/>
                <w:szCs w:val="16"/>
              </w:rPr>
            </w:pPr>
            <w:r w:rsidRPr="00AD33B9">
              <w:rPr>
                <w:sz w:val="16"/>
                <w:szCs w:val="16"/>
              </w:rPr>
              <w:t>*</w:t>
            </w:r>
          </w:p>
        </w:tc>
        <w:tc>
          <w:tcPr>
            <w:tcW w:w="3185" w:type="dxa"/>
            <w:gridSpan w:val="2"/>
            <w:tcBorders>
              <w:bottom w:val="single" w:sz="12" w:space="0" w:color="auto"/>
            </w:tcBorders>
            <w:vAlign w:val="center"/>
          </w:tcPr>
          <w:p w:rsidR="004425C9" w:rsidRPr="00C22927" w:rsidRDefault="004425C9" w:rsidP="00BC5C2B">
            <w:pPr>
              <w:jc w:val="left"/>
              <w:rPr>
                <w:sz w:val="16"/>
                <w:szCs w:val="16"/>
              </w:rPr>
            </w:pPr>
            <w:r w:rsidRPr="00C22927">
              <w:rPr>
                <w:sz w:val="16"/>
                <w:szCs w:val="16"/>
              </w:rPr>
              <w:t>Incidents of extreme weather</w:t>
            </w:r>
            <w:r>
              <w:rPr>
                <w:sz w:val="16"/>
                <w:szCs w:val="16"/>
              </w:rPr>
              <w:t xml:space="preserve"> compared to threshold</w:t>
            </w:r>
          </w:p>
        </w:tc>
        <w:tc>
          <w:tcPr>
            <w:tcW w:w="3969" w:type="dxa"/>
            <w:gridSpan w:val="2"/>
            <w:tcBorders>
              <w:bottom w:val="single" w:sz="12" w:space="0" w:color="auto"/>
            </w:tcBorders>
            <w:vAlign w:val="center"/>
          </w:tcPr>
          <w:p w:rsidR="004425C9" w:rsidRPr="00AD33B9" w:rsidRDefault="004425C9" w:rsidP="00BC5C2B">
            <w:pPr>
              <w:jc w:val="left"/>
              <w:rPr>
                <w:sz w:val="16"/>
                <w:szCs w:val="16"/>
              </w:rPr>
            </w:pPr>
            <w:r>
              <w:rPr>
                <w:sz w:val="16"/>
                <w:szCs w:val="16"/>
              </w:rPr>
              <w:t>Unknown</w:t>
            </w:r>
          </w:p>
        </w:tc>
        <w:tc>
          <w:tcPr>
            <w:tcW w:w="1962" w:type="dxa"/>
            <w:tcBorders>
              <w:bottom w:val="single" w:sz="12" w:space="0" w:color="auto"/>
            </w:tcBorders>
            <w:vAlign w:val="center"/>
          </w:tcPr>
          <w:p w:rsidR="004425C9" w:rsidRPr="00CE258D" w:rsidRDefault="004425C9" w:rsidP="00BC5C2B">
            <w:pPr>
              <w:jc w:val="left"/>
              <w:rPr>
                <w:sz w:val="16"/>
                <w:szCs w:val="16"/>
              </w:rPr>
            </w:pPr>
          </w:p>
        </w:tc>
        <w:tc>
          <w:tcPr>
            <w:tcW w:w="1134" w:type="dxa"/>
            <w:tcBorders>
              <w:bottom w:val="single" w:sz="12" w:space="0" w:color="auto"/>
            </w:tcBorders>
            <w:vAlign w:val="center"/>
          </w:tcPr>
          <w:p w:rsidR="004425C9" w:rsidRPr="00AD33B9" w:rsidRDefault="004425C9" w:rsidP="00BC5C2B">
            <w:pPr>
              <w:jc w:val="left"/>
              <w:rPr>
                <w:sz w:val="16"/>
                <w:szCs w:val="16"/>
              </w:rPr>
            </w:pPr>
            <w:r>
              <w:rPr>
                <w:sz w:val="16"/>
                <w:szCs w:val="16"/>
              </w:rPr>
              <w:t>Poor</w:t>
            </w:r>
          </w:p>
        </w:tc>
        <w:tc>
          <w:tcPr>
            <w:tcW w:w="1060" w:type="dxa"/>
            <w:gridSpan w:val="3"/>
            <w:tcBorders>
              <w:bottom w:val="single" w:sz="12" w:space="0" w:color="auto"/>
            </w:tcBorders>
            <w:vAlign w:val="center"/>
          </w:tcPr>
          <w:p w:rsidR="004425C9" w:rsidRPr="00AD33B9" w:rsidRDefault="004425C9" w:rsidP="00BC5C2B">
            <w:pPr>
              <w:jc w:val="center"/>
              <w:rPr>
                <w:sz w:val="16"/>
                <w:szCs w:val="16"/>
              </w:rPr>
            </w:pPr>
            <w:r>
              <w:rPr>
                <w:sz w:val="16"/>
                <w:szCs w:val="16"/>
              </w:rPr>
              <w:t>0</w:t>
            </w:r>
          </w:p>
        </w:tc>
      </w:tr>
      <w:tr w:rsidR="004425C9" w:rsidRPr="00ED0178" w:rsidTr="00BC5C2B">
        <w:trPr>
          <w:trHeight w:val="283"/>
          <w:jc w:val="center"/>
        </w:trPr>
        <w:tc>
          <w:tcPr>
            <w:tcW w:w="6076" w:type="dxa"/>
            <w:gridSpan w:val="5"/>
            <w:tcBorders>
              <w:top w:val="single" w:sz="12" w:space="0" w:color="auto"/>
            </w:tcBorders>
            <w:shd w:val="clear" w:color="auto" w:fill="auto"/>
            <w:vAlign w:val="center"/>
          </w:tcPr>
          <w:p w:rsidR="004425C9" w:rsidRPr="00C54B1E" w:rsidRDefault="004425C9" w:rsidP="00BC5C2B">
            <w:pPr>
              <w:tabs>
                <w:tab w:val="left" w:pos="313"/>
              </w:tabs>
              <w:jc w:val="left"/>
              <w:rPr>
                <w:b/>
                <w:sz w:val="16"/>
                <w:szCs w:val="16"/>
              </w:rPr>
            </w:pPr>
            <w:r>
              <w:rPr>
                <w:b/>
                <w:i/>
                <w:sz w:val="16"/>
                <w:szCs w:val="16"/>
              </w:rPr>
              <w:t xml:space="preserve">D. </w:t>
            </w:r>
            <w:r w:rsidRPr="00C54B1E">
              <w:rPr>
                <w:b/>
                <w:i/>
                <w:sz w:val="16"/>
                <w:szCs w:val="16"/>
              </w:rPr>
              <w:t>Additional components of total economic value</w:t>
            </w:r>
          </w:p>
        </w:tc>
        <w:tc>
          <w:tcPr>
            <w:tcW w:w="3969" w:type="dxa"/>
            <w:gridSpan w:val="2"/>
            <w:tcBorders>
              <w:top w:val="single" w:sz="12" w:space="0" w:color="auto"/>
            </w:tcBorders>
            <w:vAlign w:val="center"/>
          </w:tcPr>
          <w:p w:rsidR="004425C9" w:rsidRPr="00ED0178" w:rsidRDefault="004425C9" w:rsidP="00BC5C2B">
            <w:pPr>
              <w:jc w:val="left"/>
              <w:rPr>
                <w:sz w:val="16"/>
                <w:szCs w:val="16"/>
              </w:rPr>
            </w:pPr>
          </w:p>
        </w:tc>
        <w:tc>
          <w:tcPr>
            <w:tcW w:w="1962" w:type="dxa"/>
            <w:tcBorders>
              <w:top w:val="single" w:sz="12" w:space="0" w:color="auto"/>
            </w:tcBorders>
            <w:vAlign w:val="center"/>
          </w:tcPr>
          <w:p w:rsidR="004425C9" w:rsidRPr="00CE258D" w:rsidRDefault="004425C9" w:rsidP="00BC5C2B">
            <w:pPr>
              <w:jc w:val="left"/>
              <w:rPr>
                <w:sz w:val="16"/>
                <w:szCs w:val="16"/>
              </w:rPr>
            </w:pPr>
          </w:p>
        </w:tc>
        <w:tc>
          <w:tcPr>
            <w:tcW w:w="1134" w:type="dxa"/>
            <w:tcBorders>
              <w:top w:val="single" w:sz="12" w:space="0" w:color="auto"/>
            </w:tcBorders>
            <w:vAlign w:val="center"/>
          </w:tcPr>
          <w:p w:rsidR="004425C9" w:rsidRPr="00ED0178" w:rsidRDefault="004425C9" w:rsidP="00BC5C2B">
            <w:pPr>
              <w:jc w:val="left"/>
              <w:rPr>
                <w:sz w:val="16"/>
                <w:szCs w:val="16"/>
              </w:rPr>
            </w:pPr>
          </w:p>
        </w:tc>
        <w:tc>
          <w:tcPr>
            <w:tcW w:w="1060" w:type="dxa"/>
            <w:gridSpan w:val="3"/>
            <w:tcBorders>
              <w:top w:val="single" w:sz="12" w:space="0" w:color="auto"/>
            </w:tcBorders>
            <w:vAlign w:val="center"/>
          </w:tcPr>
          <w:p w:rsidR="004425C9" w:rsidRPr="00ED0178" w:rsidRDefault="004425C9" w:rsidP="00BC5C2B">
            <w:pPr>
              <w:jc w:val="center"/>
              <w:rPr>
                <w:sz w:val="16"/>
                <w:szCs w:val="16"/>
              </w:rPr>
            </w:pPr>
          </w:p>
        </w:tc>
      </w:tr>
      <w:tr w:rsidR="004425C9" w:rsidRPr="00ED0178" w:rsidTr="00BC5C2B">
        <w:trPr>
          <w:trHeight w:val="227"/>
          <w:jc w:val="center"/>
        </w:trPr>
        <w:tc>
          <w:tcPr>
            <w:tcW w:w="1871" w:type="dxa"/>
            <w:gridSpan w:val="2"/>
            <w:shd w:val="clear" w:color="auto" w:fill="auto"/>
            <w:vAlign w:val="center"/>
          </w:tcPr>
          <w:p w:rsidR="004425C9" w:rsidRPr="00ED0178" w:rsidRDefault="004425C9" w:rsidP="00BC5C2B">
            <w:pPr>
              <w:jc w:val="left"/>
              <w:rPr>
                <w:sz w:val="16"/>
                <w:szCs w:val="16"/>
              </w:rPr>
            </w:pPr>
            <w:r w:rsidRPr="00ED0178">
              <w:rPr>
                <w:sz w:val="16"/>
                <w:szCs w:val="16"/>
              </w:rPr>
              <w:t>Existence value</w:t>
            </w:r>
          </w:p>
        </w:tc>
        <w:tc>
          <w:tcPr>
            <w:tcW w:w="1020" w:type="dxa"/>
            <w:vMerge w:val="restart"/>
            <w:shd w:val="clear" w:color="auto" w:fill="auto"/>
            <w:vAlign w:val="center"/>
          </w:tcPr>
          <w:p w:rsidR="004425C9" w:rsidRPr="00ED0178" w:rsidRDefault="004425C9" w:rsidP="00BC5C2B">
            <w:pPr>
              <w:jc w:val="center"/>
              <w:rPr>
                <w:sz w:val="16"/>
                <w:szCs w:val="16"/>
              </w:rPr>
            </w:pPr>
            <w:r w:rsidRPr="00ED0178">
              <w:rPr>
                <w:sz w:val="16"/>
                <w:szCs w:val="16"/>
              </w:rPr>
              <w:t>**</w:t>
            </w:r>
          </w:p>
        </w:tc>
        <w:tc>
          <w:tcPr>
            <w:tcW w:w="3185" w:type="dxa"/>
            <w:gridSpan w:val="2"/>
            <w:vMerge w:val="restart"/>
            <w:vAlign w:val="center"/>
          </w:tcPr>
          <w:p w:rsidR="004425C9" w:rsidRPr="00ED0178" w:rsidRDefault="004425C9" w:rsidP="00BC5C2B">
            <w:pPr>
              <w:jc w:val="left"/>
              <w:rPr>
                <w:sz w:val="16"/>
                <w:szCs w:val="16"/>
              </w:rPr>
            </w:pPr>
            <w:r w:rsidRPr="00ED0178">
              <w:rPr>
                <w:sz w:val="16"/>
                <w:szCs w:val="16"/>
              </w:rPr>
              <w:t>Value to the community</w:t>
            </w:r>
          </w:p>
        </w:tc>
        <w:tc>
          <w:tcPr>
            <w:tcW w:w="3969" w:type="dxa"/>
            <w:gridSpan w:val="2"/>
            <w:vMerge w:val="restart"/>
            <w:vAlign w:val="center"/>
          </w:tcPr>
          <w:p w:rsidR="004425C9" w:rsidRPr="00AD33B9" w:rsidRDefault="004425C9" w:rsidP="00BC5C2B">
            <w:pPr>
              <w:jc w:val="left"/>
              <w:rPr>
                <w:sz w:val="16"/>
                <w:szCs w:val="16"/>
              </w:rPr>
            </w:pPr>
            <w:r>
              <w:rPr>
                <w:sz w:val="16"/>
                <w:szCs w:val="16"/>
              </w:rPr>
              <w:t>Unknown</w:t>
            </w:r>
          </w:p>
        </w:tc>
        <w:tc>
          <w:tcPr>
            <w:tcW w:w="1962" w:type="dxa"/>
            <w:vAlign w:val="center"/>
          </w:tcPr>
          <w:p w:rsidR="004425C9" w:rsidRPr="00CE258D" w:rsidRDefault="004425C9" w:rsidP="00BC5C2B">
            <w:pPr>
              <w:jc w:val="left"/>
              <w:rPr>
                <w:sz w:val="16"/>
                <w:szCs w:val="16"/>
              </w:rPr>
            </w:pPr>
          </w:p>
        </w:tc>
        <w:tc>
          <w:tcPr>
            <w:tcW w:w="1134" w:type="dxa"/>
            <w:vAlign w:val="center"/>
          </w:tcPr>
          <w:p w:rsidR="004425C9" w:rsidRPr="00ED0178" w:rsidRDefault="004425C9" w:rsidP="00BC5C2B">
            <w:pPr>
              <w:jc w:val="left"/>
              <w:rPr>
                <w:sz w:val="16"/>
                <w:szCs w:val="16"/>
              </w:rPr>
            </w:pPr>
          </w:p>
        </w:tc>
        <w:tc>
          <w:tcPr>
            <w:tcW w:w="1060" w:type="dxa"/>
            <w:gridSpan w:val="3"/>
            <w:vMerge w:val="restart"/>
            <w:vAlign w:val="center"/>
          </w:tcPr>
          <w:p w:rsidR="004425C9" w:rsidRPr="00ED0178" w:rsidRDefault="004425C9" w:rsidP="00BC5C2B">
            <w:pPr>
              <w:jc w:val="center"/>
              <w:rPr>
                <w:sz w:val="16"/>
                <w:szCs w:val="16"/>
              </w:rPr>
            </w:pPr>
            <w:r w:rsidRPr="00ED0178">
              <w:rPr>
                <w:sz w:val="16"/>
                <w:szCs w:val="16"/>
              </w:rPr>
              <w:t xml:space="preserve">–  </w:t>
            </w:r>
          </w:p>
        </w:tc>
      </w:tr>
      <w:tr w:rsidR="004425C9" w:rsidRPr="00ED0178" w:rsidTr="00BC5C2B">
        <w:trPr>
          <w:trHeight w:val="227"/>
          <w:jc w:val="center"/>
        </w:trPr>
        <w:tc>
          <w:tcPr>
            <w:tcW w:w="1871" w:type="dxa"/>
            <w:gridSpan w:val="2"/>
            <w:shd w:val="clear" w:color="auto" w:fill="auto"/>
            <w:vAlign w:val="center"/>
          </w:tcPr>
          <w:p w:rsidR="004425C9" w:rsidRPr="00ED0178" w:rsidRDefault="004425C9" w:rsidP="00BC5C2B">
            <w:pPr>
              <w:jc w:val="left"/>
              <w:rPr>
                <w:sz w:val="16"/>
                <w:szCs w:val="16"/>
              </w:rPr>
            </w:pPr>
            <w:r w:rsidRPr="00ED0178">
              <w:rPr>
                <w:sz w:val="16"/>
                <w:szCs w:val="16"/>
              </w:rPr>
              <w:t>Bequest value</w:t>
            </w:r>
          </w:p>
        </w:tc>
        <w:tc>
          <w:tcPr>
            <w:tcW w:w="1020" w:type="dxa"/>
            <w:vMerge/>
            <w:shd w:val="clear" w:color="auto" w:fill="auto"/>
            <w:vAlign w:val="center"/>
          </w:tcPr>
          <w:p w:rsidR="004425C9" w:rsidRPr="00ED0178" w:rsidRDefault="004425C9" w:rsidP="00BC5C2B">
            <w:pPr>
              <w:jc w:val="center"/>
              <w:rPr>
                <w:sz w:val="16"/>
                <w:szCs w:val="16"/>
              </w:rPr>
            </w:pPr>
          </w:p>
        </w:tc>
        <w:tc>
          <w:tcPr>
            <w:tcW w:w="3185" w:type="dxa"/>
            <w:gridSpan w:val="2"/>
            <w:vMerge/>
            <w:vAlign w:val="center"/>
          </w:tcPr>
          <w:p w:rsidR="004425C9" w:rsidRPr="00ED0178" w:rsidRDefault="004425C9" w:rsidP="00BC5C2B">
            <w:pPr>
              <w:jc w:val="left"/>
              <w:rPr>
                <w:sz w:val="16"/>
                <w:szCs w:val="16"/>
              </w:rPr>
            </w:pPr>
          </w:p>
        </w:tc>
        <w:tc>
          <w:tcPr>
            <w:tcW w:w="3969" w:type="dxa"/>
            <w:gridSpan w:val="2"/>
            <w:vMerge/>
            <w:vAlign w:val="center"/>
          </w:tcPr>
          <w:p w:rsidR="004425C9" w:rsidRPr="00ED0178" w:rsidRDefault="004425C9" w:rsidP="00BC5C2B">
            <w:pPr>
              <w:jc w:val="left"/>
              <w:rPr>
                <w:sz w:val="16"/>
                <w:szCs w:val="16"/>
              </w:rPr>
            </w:pPr>
          </w:p>
        </w:tc>
        <w:tc>
          <w:tcPr>
            <w:tcW w:w="1962" w:type="dxa"/>
            <w:vAlign w:val="center"/>
          </w:tcPr>
          <w:p w:rsidR="004425C9" w:rsidRPr="00CE258D" w:rsidRDefault="004425C9" w:rsidP="00BC5C2B">
            <w:pPr>
              <w:jc w:val="left"/>
              <w:rPr>
                <w:sz w:val="16"/>
                <w:szCs w:val="16"/>
              </w:rPr>
            </w:pPr>
          </w:p>
        </w:tc>
        <w:tc>
          <w:tcPr>
            <w:tcW w:w="1134" w:type="dxa"/>
            <w:vAlign w:val="center"/>
          </w:tcPr>
          <w:p w:rsidR="004425C9" w:rsidRPr="00ED0178" w:rsidRDefault="004425C9" w:rsidP="00BC5C2B">
            <w:pPr>
              <w:jc w:val="left"/>
              <w:rPr>
                <w:sz w:val="16"/>
                <w:szCs w:val="16"/>
              </w:rPr>
            </w:pPr>
            <w:r>
              <w:rPr>
                <w:sz w:val="16"/>
                <w:szCs w:val="16"/>
              </w:rPr>
              <w:t>Poor</w:t>
            </w:r>
          </w:p>
        </w:tc>
        <w:tc>
          <w:tcPr>
            <w:tcW w:w="1060" w:type="dxa"/>
            <w:gridSpan w:val="3"/>
            <w:vMerge/>
            <w:vAlign w:val="center"/>
          </w:tcPr>
          <w:p w:rsidR="004425C9" w:rsidRPr="00ED0178" w:rsidRDefault="004425C9" w:rsidP="00BC5C2B">
            <w:pPr>
              <w:jc w:val="center"/>
              <w:rPr>
                <w:sz w:val="16"/>
                <w:szCs w:val="16"/>
              </w:rPr>
            </w:pPr>
          </w:p>
        </w:tc>
      </w:tr>
      <w:tr w:rsidR="004425C9" w:rsidRPr="00ED0178" w:rsidTr="00BC5C2B">
        <w:trPr>
          <w:trHeight w:val="227"/>
          <w:jc w:val="center"/>
        </w:trPr>
        <w:tc>
          <w:tcPr>
            <w:tcW w:w="1871" w:type="dxa"/>
            <w:gridSpan w:val="2"/>
            <w:tcBorders>
              <w:bottom w:val="single" w:sz="12" w:space="0" w:color="auto"/>
            </w:tcBorders>
            <w:shd w:val="clear" w:color="auto" w:fill="auto"/>
            <w:vAlign w:val="center"/>
          </w:tcPr>
          <w:p w:rsidR="004425C9" w:rsidRPr="00ED0178" w:rsidRDefault="004425C9" w:rsidP="00BC5C2B">
            <w:pPr>
              <w:jc w:val="left"/>
              <w:rPr>
                <w:sz w:val="16"/>
                <w:szCs w:val="16"/>
              </w:rPr>
            </w:pPr>
            <w:r w:rsidRPr="00ED0178">
              <w:rPr>
                <w:sz w:val="16"/>
                <w:szCs w:val="16"/>
              </w:rPr>
              <w:t>Option value</w:t>
            </w:r>
          </w:p>
        </w:tc>
        <w:tc>
          <w:tcPr>
            <w:tcW w:w="1020" w:type="dxa"/>
            <w:vMerge/>
            <w:tcBorders>
              <w:bottom w:val="single" w:sz="12" w:space="0" w:color="auto"/>
            </w:tcBorders>
            <w:shd w:val="clear" w:color="auto" w:fill="auto"/>
            <w:vAlign w:val="center"/>
          </w:tcPr>
          <w:p w:rsidR="004425C9" w:rsidRPr="00ED0178" w:rsidRDefault="004425C9" w:rsidP="00BC5C2B">
            <w:pPr>
              <w:jc w:val="center"/>
              <w:rPr>
                <w:sz w:val="16"/>
                <w:szCs w:val="16"/>
              </w:rPr>
            </w:pPr>
          </w:p>
        </w:tc>
        <w:tc>
          <w:tcPr>
            <w:tcW w:w="3185" w:type="dxa"/>
            <w:gridSpan w:val="2"/>
            <w:vMerge/>
            <w:tcBorders>
              <w:bottom w:val="single" w:sz="12" w:space="0" w:color="auto"/>
            </w:tcBorders>
            <w:vAlign w:val="center"/>
          </w:tcPr>
          <w:p w:rsidR="004425C9" w:rsidRPr="00ED0178" w:rsidRDefault="004425C9" w:rsidP="00BC5C2B">
            <w:pPr>
              <w:jc w:val="left"/>
              <w:rPr>
                <w:sz w:val="16"/>
                <w:szCs w:val="16"/>
              </w:rPr>
            </w:pPr>
          </w:p>
        </w:tc>
        <w:tc>
          <w:tcPr>
            <w:tcW w:w="3969" w:type="dxa"/>
            <w:gridSpan w:val="2"/>
            <w:vMerge/>
            <w:tcBorders>
              <w:bottom w:val="single" w:sz="12" w:space="0" w:color="auto"/>
            </w:tcBorders>
            <w:vAlign w:val="center"/>
          </w:tcPr>
          <w:p w:rsidR="004425C9" w:rsidRPr="00ED0178" w:rsidRDefault="004425C9" w:rsidP="00BC5C2B">
            <w:pPr>
              <w:jc w:val="left"/>
              <w:rPr>
                <w:sz w:val="16"/>
                <w:szCs w:val="16"/>
              </w:rPr>
            </w:pPr>
          </w:p>
        </w:tc>
        <w:tc>
          <w:tcPr>
            <w:tcW w:w="1962" w:type="dxa"/>
            <w:tcBorders>
              <w:bottom w:val="single" w:sz="12" w:space="0" w:color="auto"/>
            </w:tcBorders>
            <w:vAlign w:val="center"/>
          </w:tcPr>
          <w:p w:rsidR="004425C9" w:rsidRPr="00CE258D" w:rsidRDefault="004425C9" w:rsidP="00BC5C2B">
            <w:pPr>
              <w:jc w:val="left"/>
              <w:rPr>
                <w:sz w:val="16"/>
                <w:szCs w:val="16"/>
              </w:rPr>
            </w:pPr>
          </w:p>
        </w:tc>
        <w:tc>
          <w:tcPr>
            <w:tcW w:w="1134" w:type="dxa"/>
            <w:tcBorders>
              <w:bottom w:val="single" w:sz="12" w:space="0" w:color="auto"/>
            </w:tcBorders>
          </w:tcPr>
          <w:p w:rsidR="004425C9" w:rsidRPr="00ED0178" w:rsidRDefault="004425C9" w:rsidP="00BC5C2B">
            <w:pPr>
              <w:jc w:val="left"/>
              <w:rPr>
                <w:sz w:val="16"/>
                <w:szCs w:val="16"/>
              </w:rPr>
            </w:pPr>
          </w:p>
        </w:tc>
        <w:tc>
          <w:tcPr>
            <w:tcW w:w="1060" w:type="dxa"/>
            <w:gridSpan w:val="3"/>
            <w:vMerge/>
            <w:tcBorders>
              <w:bottom w:val="single" w:sz="12" w:space="0" w:color="auto"/>
            </w:tcBorders>
            <w:vAlign w:val="center"/>
          </w:tcPr>
          <w:p w:rsidR="004425C9" w:rsidRPr="00ED0178" w:rsidRDefault="004425C9" w:rsidP="00BC5C2B">
            <w:pPr>
              <w:jc w:val="center"/>
              <w:rPr>
                <w:sz w:val="16"/>
                <w:szCs w:val="16"/>
              </w:rPr>
            </w:pPr>
          </w:p>
        </w:tc>
      </w:tr>
      <w:tr w:rsidR="004425C9" w:rsidRPr="00927478" w:rsidTr="00BC5C2B">
        <w:trPr>
          <w:gridAfter w:val="1"/>
          <w:wAfter w:w="22" w:type="dxa"/>
          <w:cantSplit/>
          <w:trHeight w:val="907"/>
          <w:jc w:val="center"/>
        </w:trPr>
        <w:tc>
          <w:tcPr>
            <w:tcW w:w="251" w:type="dxa"/>
            <w:tcBorders>
              <w:top w:val="single" w:sz="12" w:space="0" w:color="auto"/>
            </w:tcBorders>
            <w:shd w:val="clear" w:color="auto" w:fill="auto"/>
            <w:vAlign w:val="center"/>
          </w:tcPr>
          <w:p w:rsidR="004425C9" w:rsidRPr="00927478" w:rsidRDefault="004425C9" w:rsidP="00BC5C2B">
            <w:pPr>
              <w:jc w:val="center"/>
              <w:rPr>
                <w:sz w:val="16"/>
                <w:szCs w:val="16"/>
              </w:rPr>
            </w:pPr>
          </w:p>
        </w:tc>
        <w:tc>
          <w:tcPr>
            <w:tcW w:w="4789" w:type="dxa"/>
            <w:gridSpan w:val="3"/>
            <w:tcBorders>
              <w:top w:val="single" w:sz="12" w:space="0" w:color="auto"/>
            </w:tcBorders>
            <w:shd w:val="clear" w:color="auto" w:fill="auto"/>
          </w:tcPr>
          <w:p w:rsidR="004425C9" w:rsidRPr="00927478" w:rsidRDefault="004425C9" w:rsidP="00BC5C2B">
            <w:pPr>
              <w:tabs>
                <w:tab w:val="left" w:pos="176"/>
              </w:tabs>
              <w:spacing w:before="120"/>
              <w:ind w:left="176" w:hanging="176"/>
              <w:jc w:val="left"/>
              <w:rPr>
                <w:sz w:val="16"/>
                <w:szCs w:val="16"/>
              </w:rPr>
            </w:pPr>
            <w:r w:rsidRPr="00927478">
              <w:rPr>
                <w:sz w:val="18"/>
                <w:szCs w:val="18"/>
                <w:vertAlign w:val="superscript"/>
              </w:rPr>
              <w:t>1</w:t>
            </w:r>
            <w:r w:rsidRPr="00927478">
              <w:rPr>
                <w:sz w:val="18"/>
                <w:szCs w:val="18"/>
              </w:rPr>
              <w:t xml:space="preserve"> </w:t>
            </w:r>
            <w:r>
              <w:rPr>
                <w:sz w:val="16"/>
                <w:szCs w:val="16"/>
              </w:rPr>
              <w:tab/>
              <w:t>I</w:t>
            </w:r>
            <w:r w:rsidRPr="00927478">
              <w:rPr>
                <w:sz w:val="16"/>
                <w:szCs w:val="16"/>
              </w:rPr>
              <w:t>ncreasing water level upstream providing longer access</w:t>
            </w:r>
          </w:p>
          <w:p w:rsidR="004425C9" w:rsidRPr="00927478" w:rsidRDefault="004425C9" w:rsidP="00BC5C2B">
            <w:pPr>
              <w:tabs>
                <w:tab w:val="left" w:pos="176"/>
              </w:tabs>
              <w:ind w:left="176" w:hanging="176"/>
              <w:jc w:val="left"/>
              <w:rPr>
                <w:sz w:val="16"/>
                <w:szCs w:val="16"/>
              </w:rPr>
            </w:pPr>
            <w:r w:rsidRPr="00927478">
              <w:rPr>
                <w:sz w:val="18"/>
                <w:szCs w:val="18"/>
                <w:vertAlign w:val="superscript"/>
              </w:rPr>
              <w:t>2</w:t>
            </w:r>
            <w:r>
              <w:rPr>
                <w:sz w:val="18"/>
                <w:szCs w:val="18"/>
                <w:vertAlign w:val="superscript"/>
              </w:rPr>
              <w:tab/>
            </w:r>
            <w:r w:rsidRPr="00AA632F">
              <w:rPr>
                <w:sz w:val="16"/>
                <w:szCs w:val="16"/>
              </w:rPr>
              <w:t>B</w:t>
            </w:r>
            <w:r w:rsidRPr="00927478">
              <w:rPr>
                <w:sz w:val="16"/>
                <w:szCs w:val="16"/>
              </w:rPr>
              <w:t>arrier to navigation</w:t>
            </w:r>
          </w:p>
          <w:p w:rsidR="004425C9" w:rsidRPr="00927478" w:rsidRDefault="004425C9" w:rsidP="00BC5C2B">
            <w:pPr>
              <w:tabs>
                <w:tab w:val="left" w:pos="176"/>
              </w:tabs>
              <w:ind w:left="176" w:hanging="176"/>
              <w:jc w:val="left"/>
              <w:rPr>
                <w:sz w:val="16"/>
                <w:szCs w:val="16"/>
              </w:rPr>
            </w:pPr>
            <w:r w:rsidRPr="00927478">
              <w:rPr>
                <w:sz w:val="18"/>
                <w:szCs w:val="18"/>
                <w:vertAlign w:val="superscript"/>
              </w:rPr>
              <w:t>3</w:t>
            </w:r>
            <w:r w:rsidRPr="00927478">
              <w:rPr>
                <w:sz w:val="18"/>
                <w:szCs w:val="18"/>
              </w:rPr>
              <w:t xml:space="preserve"> </w:t>
            </w:r>
            <w:r w:rsidRPr="00927478">
              <w:rPr>
                <w:sz w:val="16"/>
                <w:szCs w:val="16"/>
              </w:rPr>
              <w:tab/>
            </w:r>
            <w:r>
              <w:rPr>
                <w:sz w:val="16"/>
                <w:szCs w:val="16"/>
              </w:rPr>
              <w:t>Higher water level increasing view of water (rather than mud)</w:t>
            </w:r>
          </w:p>
          <w:p w:rsidR="004425C9" w:rsidRPr="00927478" w:rsidRDefault="004425C9" w:rsidP="00BC5C2B">
            <w:pPr>
              <w:tabs>
                <w:tab w:val="left" w:pos="176"/>
              </w:tabs>
              <w:ind w:left="176" w:hanging="176"/>
              <w:jc w:val="left"/>
              <w:rPr>
                <w:sz w:val="16"/>
                <w:szCs w:val="16"/>
              </w:rPr>
            </w:pPr>
            <w:r w:rsidRPr="00927478">
              <w:rPr>
                <w:sz w:val="18"/>
                <w:szCs w:val="18"/>
                <w:vertAlign w:val="superscript"/>
              </w:rPr>
              <w:t>4</w:t>
            </w:r>
            <w:r w:rsidRPr="00927478">
              <w:rPr>
                <w:sz w:val="18"/>
                <w:szCs w:val="18"/>
              </w:rPr>
              <w:t xml:space="preserve"> </w:t>
            </w:r>
            <w:r w:rsidRPr="00927478">
              <w:rPr>
                <w:sz w:val="18"/>
                <w:szCs w:val="18"/>
              </w:rPr>
              <w:tab/>
            </w:r>
            <w:r>
              <w:rPr>
                <w:sz w:val="16"/>
                <w:szCs w:val="16"/>
              </w:rPr>
              <w:t>Presence of the barrage structure</w:t>
            </w:r>
          </w:p>
        </w:tc>
        <w:tc>
          <w:tcPr>
            <w:tcW w:w="4458" w:type="dxa"/>
            <w:gridSpan w:val="2"/>
            <w:tcBorders>
              <w:top w:val="single" w:sz="12" w:space="0" w:color="auto"/>
            </w:tcBorders>
            <w:shd w:val="clear" w:color="auto" w:fill="auto"/>
          </w:tcPr>
          <w:p w:rsidR="004425C9" w:rsidRPr="00927478" w:rsidRDefault="004425C9" w:rsidP="00BC5C2B">
            <w:pPr>
              <w:tabs>
                <w:tab w:val="left" w:pos="176"/>
              </w:tabs>
              <w:spacing w:before="120"/>
              <w:ind w:left="176" w:hanging="176"/>
              <w:jc w:val="left"/>
              <w:rPr>
                <w:sz w:val="16"/>
                <w:szCs w:val="16"/>
              </w:rPr>
            </w:pPr>
            <w:r w:rsidRPr="00927478">
              <w:rPr>
                <w:sz w:val="18"/>
                <w:szCs w:val="18"/>
                <w:vertAlign w:val="superscript"/>
              </w:rPr>
              <w:t>5</w:t>
            </w:r>
            <w:r w:rsidRPr="00927478">
              <w:rPr>
                <w:sz w:val="18"/>
                <w:szCs w:val="18"/>
              </w:rPr>
              <w:t xml:space="preserve"> </w:t>
            </w:r>
            <w:r w:rsidRPr="00927478">
              <w:rPr>
                <w:sz w:val="16"/>
                <w:szCs w:val="16"/>
              </w:rPr>
              <w:tab/>
            </w:r>
            <w:r>
              <w:rPr>
                <w:sz w:val="16"/>
                <w:szCs w:val="16"/>
              </w:rPr>
              <w:t>N</w:t>
            </w:r>
            <w:r w:rsidRPr="00927478">
              <w:rPr>
                <w:sz w:val="16"/>
                <w:szCs w:val="16"/>
              </w:rPr>
              <w:t xml:space="preserve">ew structures and seascapes </w:t>
            </w:r>
          </w:p>
          <w:p w:rsidR="004425C9" w:rsidRPr="00927478" w:rsidRDefault="004425C9" w:rsidP="00BC5C2B">
            <w:pPr>
              <w:tabs>
                <w:tab w:val="left" w:pos="176"/>
              </w:tabs>
              <w:ind w:left="176" w:hanging="176"/>
              <w:jc w:val="left"/>
              <w:rPr>
                <w:sz w:val="16"/>
                <w:szCs w:val="16"/>
              </w:rPr>
            </w:pPr>
            <w:r w:rsidRPr="00927478">
              <w:rPr>
                <w:sz w:val="18"/>
                <w:szCs w:val="18"/>
                <w:vertAlign w:val="superscript"/>
              </w:rPr>
              <w:t>6</w:t>
            </w:r>
            <w:r w:rsidRPr="00927478">
              <w:rPr>
                <w:sz w:val="18"/>
                <w:szCs w:val="18"/>
              </w:rPr>
              <w:t xml:space="preserve"> </w:t>
            </w:r>
            <w:r w:rsidRPr="00927478">
              <w:rPr>
                <w:sz w:val="16"/>
                <w:szCs w:val="16"/>
              </w:rPr>
              <w:tab/>
            </w:r>
            <w:r>
              <w:rPr>
                <w:sz w:val="16"/>
                <w:szCs w:val="16"/>
              </w:rPr>
              <w:t>C</w:t>
            </w:r>
            <w:r w:rsidRPr="00927478">
              <w:rPr>
                <w:sz w:val="16"/>
                <w:szCs w:val="16"/>
              </w:rPr>
              <w:t>hanges to existing seascapes</w:t>
            </w:r>
            <w:r>
              <w:rPr>
                <w:sz w:val="16"/>
                <w:szCs w:val="16"/>
              </w:rPr>
              <w:t xml:space="preserve"> and noise</w:t>
            </w:r>
          </w:p>
          <w:p w:rsidR="004425C9" w:rsidRPr="00927478" w:rsidRDefault="004425C9" w:rsidP="00BC5C2B">
            <w:pPr>
              <w:tabs>
                <w:tab w:val="left" w:pos="176"/>
              </w:tabs>
              <w:ind w:left="176" w:hanging="176"/>
              <w:jc w:val="left"/>
              <w:rPr>
                <w:sz w:val="16"/>
                <w:szCs w:val="16"/>
              </w:rPr>
            </w:pPr>
            <w:r w:rsidRPr="00927478">
              <w:rPr>
                <w:sz w:val="18"/>
                <w:szCs w:val="18"/>
                <w:vertAlign w:val="superscript"/>
              </w:rPr>
              <w:t>7</w:t>
            </w:r>
            <w:r w:rsidRPr="00927478">
              <w:rPr>
                <w:sz w:val="18"/>
                <w:szCs w:val="18"/>
              </w:rPr>
              <w:t xml:space="preserve"> </w:t>
            </w:r>
            <w:r w:rsidRPr="00927478">
              <w:rPr>
                <w:sz w:val="16"/>
                <w:szCs w:val="16"/>
              </w:rPr>
              <w:tab/>
            </w:r>
            <w:r>
              <w:rPr>
                <w:sz w:val="16"/>
                <w:szCs w:val="16"/>
              </w:rPr>
              <w:t>C</w:t>
            </w:r>
            <w:r w:rsidRPr="00927478">
              <w:rPr>
                <w:sz w:val="16"/>
                <w:szCs w:val="16"/>
              </w:rPr>
              <w:t>ontrols on tidal and fluvial flooding</w:t>
            </w:r>
          </w:p>
          <w:p w:rsidR="004425C9" w:rsidRPr="00927478" w:rsidRDefault="004425C9" w:rsidP="00BC5C2B">
            <w:pPr>
              <w:tabs>
                <w:tab w:val="left" w:pos="176"/>
              </w:tabs>
              <w:ind w:left="176" w:hanging="176"/>
              <w:jc w:val="left"/>
              <w:rPr>
                <w:sz w:val="16"/>
                <w:szCs w:val="16"/>
              </w:rPr>
            </w:pPr>
            <w:r w:rsidRPr="00927478">
              <w:rPr>
                <w:sz w:val="18"/>
                <w:szCs w:val="18"/>
                <w:vertAlign w:val="superscript"/>
              </w:rPr>
              <w:t>8</w:t>
            </w:r>
            <w:r w:rsidRPr="00927478">
              <w:rPr>
                <w:sz w:val="18"/>
                <w:szCs w:val="18"/>
              </w:rPr>
              <w:t xml:space="preserve"> </w:t>
            </w:r>
            <w:r w:rsidRPr="00927478">
              <w:rPr>
                <w:sz w:val="16"/>
                <w:szCs w:val="16"/>
              </w:rPr>
              <w:tab/>
            </w:r>
            <w:r>
              <w:rPr>
                <w:sz w:val="16"/>
                <w:szCs w:val="16"/>
              </w:rPr>
              <w:t>P</w:t>
            </w:r>
            <w:r w:rsidRPr="00927478">
              <w:rPr>
                <w:sz w:val="16"/>
                <w:szCs w:val="16"/>
              </w:rPr>
              <w:t>otential groundwater flooding</w:t>
            </w:r>
          </w:p>
        </w:tc>
        <w:tc>
          <w:tcPr>
            <w:tcW w:w="4365" w:type="dxa"/>
            <w:gridSpan w:val="4"/>
            <w:tcBorders>
              <w:top w:val="single" w:sz="12" w:space="0" w:color="auto"/>
            </w:tcBorders>
            <w:shd w:val="clear" w:color="auto" w:fill="auto"/>
          </w:tcPr>
          <w:p w:rsidR="004425C9" w:rsidRPr="00927478" w:rsidRDefault="004425C9" w:rsidP="00BC5C2B">
            <w:pPr>
              <w:tabs>
                <w:tab w:val="left" w:pos="176"/>
              </w:tabs>
              <w:spacing w:before="120"/>
              <w:ind w:left="176" w:hanging="176"/>
              <w:jc w:val="left"/>
              <w:rPr>
                <w:sz w:val="16"/>
                <w:szCs w:val="16"/>
              </w:rPr>
            </w:pPr>
            <w:r w:rsidRPr="00927478">
              <w:rPr>
                <w:sz w:val="18"/>
                <w:szCs w:val="18"/>
                <w:vertAlign w:val="superscript"/>
              </w:rPr>
              <w:t>9</w:t>
            </w:r>
            <w:r w:rsidRPr="00927478">
              <w:rPr>
                <w:sz w:val="18"/>
                <w:szCs w:val="18"/>
              </w:rPr>
              <w:t xml:space="preserve"> </w:t>
            </w:r>
            <w:r w:rsidRPr="00927478">
              <w:rPr>
                <w:sz w:val="18"/>
                <w:szCs w:val="18"/>
              </w:rPr>
              <w:tab/>
            </w:r>
            <w:r>
              <w:rPr>
                <w:sz w:val="16"/>
                <w:szCs w:val="16"/>
              </w:rPr>
              <w:t>R</w:t>
            </w:r>
            <w:r w:rsidRPr="00927478">
              <w:rPr>
                <w:sz w:val="16"/>
                <w:szCs w:val="16"/>
              </w:rPr>
              <w:t>educed upstream erosion</w:t>
            </w:r>
          </w:p>
          <w:p w:rsidR="004425C9" w:rsidRPr="00927478" w:rsidRDefault="004425C9" w:rsidP="00BC5C2B">
            <w:pPr>
              <w:tabs>
                <w:tab w:val="left" w:pos="176"/>
              </w:tabs>
              <w:ind w:left="176" w:hanging="176"/>
              <w:jc w:val="left"/>
              <w:rPr>
                <w:sz w:val="16"/>
                <w:szCs w:val="16"/>
              </w:rPr>
            </w:pPr>
            <w:r w:rsidRPr="00927478">
              <w:rPr>
                <w:sz w:val="18"/>
                <w:szCs w:val="18"/>
                <w:vertAlign w:val="superscript"/>
              </w:rPr>
              <w:t>10</w:t>
            </w:r>
            <w:r>
              <w:rPr>
                <w:sz w:val="18"/>
                <w:szCs w:val="18"/>
                <w:vertAlign w:val="superscript"/>
              </w:rPr>
              <w:tab/>
            </w:r>
            <w:r>
              <w:rPr>
                <w:sz w:val="18"/>
                <w:szCs w:val="18"/>
              </w:rPr>
              <w:t>I</w:t>
            </w:r>
            <w:r w:rsidRPr="00927478">
              <w:rPr>
                <w:sz w:val="16"/>
                <w:szCs w:val="16"/>
              </w:rPr>
              <w:t>ncreased erosion in the proximity of the barrage</w:t>
            </w:r>
          </w:p>
        </w:tc>
        <w:tc>
          <w:tcPr>
            <w:tcW w:w="316" w:type="dxa"/>
            <w:tcBorders>
              <w:top w:val="single" w:sz="12" w:space="0" w:color="auto"/>
            </w:tcBorders>
            <w:shd w:val="clear" w:color="auto" w:fill="auto"/>
            <w:vAlign w:val="center"/>
          </w:tcPr>
          <w:p w:rsidR="004425C9" w:rsidRPr="00927478" w:rsidRDefault="004425C9" w:rsidP="00BC5C2B">
            <w:pPr>
              <w:jc w:val="center"/>
              <w:rPr>
                <w:sz w:val="16"/>
                <w:szCs w:val="16"/>
              </w:rPr>
            </w:pPr>
          </w:p>
        </w:tc>
      </w:tr>
    </w:tbl>
    <w:p w:rsidR="007D4DEB" w:rsidRDefault="007D4DEB" w:rsidP="00CF681C">
      <w:pPr>
        <w:spacing w:line="360" w:lineRule="auto"/>
        <w:jc w:val="left"/>
      </w:pPr>
    </w:p>
    <w:p w:rsidR="004425C9" w:rsidRDefault="004425C9" w:rsidP="00CF681C">
      <w:pPr>
        <w:spacing w:line="360" w:lineRule="auto"/>
        <w:jc w:val="left"/>
        <w:rPr>
          <w:i/>
        </w:rPr>
        <w:sectPr w:rsidR="004425C9" w:rsidSect="004425C9">
          <w:pgSz w:w="16838" w:h="11906" w:orient="landscape"/>
          <w:pgMar w:top="1440" w:right="1440" w:bottom="1134" w:left="1440" w:header="709" w:footer="709" w:gutter="0"/>
          <w:cols w:space="708"/>
          <w:docGrid w:linePitch="360"/>
        </w:sectPr>
      </w:pPr>
    </w:p>
    <w:p w:rsidR="00FB3D8F" w:rsidRDefault="00FB3D8F" w:rsidP="00CF681C">
      <w:pPr>
        <w:spacing w:line="360" w:lineRule="auto"/>
        <w:jc w:val="left"/>
      </w:pPr>
      <w:r>
        <w:rPr>
          <w:i/>
        </w:rPr>
        <w:lastRenderedPageBreak/>
        <w:t>4.2.3 Current level of benefit delivery and importance of environmental benefits</w:t>
      </w:r>
    </w:p>
    <w:p w:rsidR="00517A88" w:rsidRDefault="007F5BAB" w:rsidP="00CF681C">
      <w:pPr>
        <w:spacing w:line="360" w:lineRule="auto"/>
        <w:jc w:val="left"/>
      </w:pPr>
      <w:r>
        <w:t>D</w:t>
      </w:r>
      <w:r w:rsidR="00517A88">
        <w:t xml:space="preserve">ata </w:t>
      </w:r>
      <w:r w:rsidR="00470829">
        <w:t xml:space="preserve">on the current levels of benefits arising </w:t>
      </w:r>
      <w:r w:rsidR="00517A88">
        <w:t>from the Taw Torridge</w:t>
      </w:r>
      <w:r w:rsidR="00470829">
        <w:t>, and described in the following paragraphs,</w:t>
      </w:r>
      <w:r w:rsidR="00517A88">
        <w:t xml:space="preserve"> was </w:t>
      </w:r>
      <w:r w:rsidR="00470829">
        <w:t>collated from existing sources</w:t>
      </w:r>
      <w:r w:rsidR="000E360F">
        <w:t xml:space="preserve">. </w:t>
      </w:r>
      <w:r w:rsidR="00DD19C6">
        <w:t xml:space="preserve"> </w:t>
      </w:r>
      <w:r w:rsidR="00517A88">
        <w:t>Secondary sources (grey and peer-reviewed literature, unpublished data from statutory and other agencies, and personal communications) enabled at least partial quantification of 1</w:t>
      </w:r>
      <w:r w:rsidR="00142BEE">
        <w:t>2</w:t>
      </w:r>
      <w:r w:rsidR="00517A88">
        <w:t xml:space="preserve"> of the 3</w:t>
      </w:r>
      <w:r w:rsidR="00142BEE">
        <w:t>1</w:t>
      </w:r>
      <w:r w:rsidR="00517A88">
        <w:t xml:space="preserve"> benefits listed</w:t>
      </w:r>
      <w:r w:rsidR="00517A88" w:rsidRPr="00383A2C">
        <w:t>, although there is a low confidence level associated with much of the data</w:t>
      </w:r>
      <w:r w:rsidR="000E360F">
        <w:t xml:space="preserve"> (</w:t>
      </w:r>
      <w:r w:rsidR="00B45536">
        <w:t>Table 3</w:t>
      </w:r>
      <w:r w:rsidR="000E360F">
        <w:t>).</w:t>
      </w:r>
      <w:r w:rsidR="00DD19C6">
        <w:t xml:space="preserve"> </w:t>
      </w:r>
      <w:r w:rsidR="00517A88">
        <w:t xml:space="preserve">The </w:t>
      </w:r>
      <w:r w:rsidR="001502D0">
        <w:t xml:space="preserve">criteria for </w:t>
      </w:r>
      <w:r w:rsidR="00517A88">
        <w:t xml:space="preserve">confidence level </w:t>
      </w:r>
      <w:r w:rsidR="001502D0">
        <w:t xml:space="preserve">depended </w:t>
      </w:r>
      <w:r w:rsidR="00517A88">
        <w:t>on the source of the data, how recently it had been col</w:t>
      </w:r>
      <w:r w:rsidR="00D517CA">
        <w:t xml:space="preserve">lected, and its scope (i.e. </w:t>
      </w:r>
      <w:r w:rsidR="00517A88">
        <w:t>whether it considered the entire estuary or sector, or was a partial assessment)</w:t>
      </w:r>
      <w:r w:rsidR="00DD19C6">
        <w:t xml:space="preserve">. </w:t>
      </w:r>
      <w:r w:rsidR="00470829">
        <w:t>The confidence level is awarded on the basis of the authors’ judgement.</w:t>
      </w:r>
    </w:p>
    <w:p w:rsidR="00517A88" w:rsidRDefault="00517A88" w:rsidP="00CF681C">
      <w:pPr>
        <w:spacing w:line="360" w:lineRule="auto"/>
        <w:jc w:val="left"/>
      </w:pPr>
    </w:p>
    <w:p w:rsidR="00BB78CB" w:rsidRPr="00C52984" w:rsidRDefault="00BB78CB" w:rsidP="00CF681C">
      <w:pPr>
        <w:tabs>
          <w:tab w:val="left" w:pos="567"/>
        </w:tabs>
        <w:spacing w:line="360" w:lineRule="auto"/>
        <w:jc w:val="left"/>
      </w:pPr>
      <w:r w:rsidRPr="00C52984">
        <w:rPr>
          <w:szCs w:val="22"/>
        </w:rPr>
        <w:t>The Taw Torridge itself is not a significant source of food or raw materials, although there is the potential for greater exploitation of the shellfish beds</w:t>
      </w:r>
      <w:r w:rsidR="00DD19C6">
        <w:rPr>
          <w:szCs w:val="22"/>
        </w:rPr>
        <w:t xml:space="preserve">. </w:t>
      </w:r>
      <w:r w:rsidR="00A378BA" w:rsidRPr="00C52984">
        <w:t xml:space="preserve">The </w:t>
      </w:r>
      <w:r>
        <w:t>estuary</w:t>
      </w:r>
      <w:r w:rsidR="00A378BA" w:rsidRPr="00C52984">
        <w:t xml:space="preserve"> has one of the largest natural mussel stocks in the south west (TTEP, 1998)</w:t>
      </w:r>
      <w:r w:rsidR="00D47CF5" w:rsidRPr="00C52984">
        <w:t xml:space="preserve"> and has eight designated bivalve production areas</w:t>
      </w:r>
      <w:r w:rsidR="00A378BA" w:rsidRPr="00C52984">
        <w:t xml:space="preserve"> </w:t>
      </w:r>
      <w:r w:rsidR="00D47CF5" w:rsidRPr="00C52984">
        <w:t>(Food Standards Agency, 2010)</w:t>
      </w:r>
      <w:r w:rsidR="00DC03C2" w:rsidRPr="00C52984">
        <w:t>,</w:t>
      </w:r>
      <w:r w:rsidR="00D47CF5" w:rsidRPr="00C52984">
        <w:t xml:space="preserve"> </w:t>
      </w:r>
      <w:r w:rsidR="00A378BA" w:rsidRPr="00C52984">
        <w:t>but it is not extensively exploited due</w:t>
      </w:r>
      <w:r w:rsidR="00D47CF5" w:rsidRPr="00C52984">
        <w:t xml:space="preserve"> at least in part</w:t>
      </w:r>
      <w:r w:rsidR="00A378BA" w:rsidRPr="00C52984">
        <w:t xml:space="preserve"> to recurrent water quality issues (TTEP, 1998). Netting </w:t>
      </w:r>
      <w:r w:rsidR="00A378BA" w:rsidRPr="00C52984">
        <w:rPr>
          <w:szCs w:val="22"/>
        </w:rPr>
        <w:t xml:space="preserve">for salmon and sea trout continues in the Taw Torridge, but is being phased out (CEFAS and Environment Agency, 2010), and </w:t>
      </w:r>
      <w:r w:rsidR="00A378BA" w:rsidRPr="00C52984">
        <w:t>a small number of small-scale commercial fishers use drift nets for bass and mullet within the estuary</w:t>
      </w:r>
      <w:r w:rsidR="00DD19C6">
        <w:t xml:space="preserve">. </w:t>
      </w:r>
      <w:r w:rsidR="00A378BA" w:rsidRPr="00C52984">
        <w:t>The open sea beyond the estuary supports more significant fisheries</w:t>
      </w:r>
      <w:r w:rsidR="00DD19C6">
        <w:t xml:space="preserve">. </w:t>
      </w:r>
      <w:r w:rsidR="00D517CA">
        <w:t>Skates and rays, squid, bass, whelks</w:t>
      </w:r>
      <w:r w:rsidR="00A378BA" w:rsidRPr="00C52984">
        <w:rPr>
          <w:szCs w:val="22"/>
        </w:rPr>
        <w:t>, l</w:t>
      </w:r>
      <w:r w:rsidR="00D517CA">
        <w:t>obsters</w:t>
      </w:r>
      <w:r w:rsidR="00A378BA" w:rsidRPr="00C52984">
        <w:t xml:space="preserve"> a</w:t>
      </w:r>
      <w:r w:rsidR="00D517CA">
        <w:t>nd flatfish (particularly sole and turbot</w:t>
      </w:r>
      <w:r w:rsidR="00A378BA" w:rsidRPr="00C52984">
        <w:t>) are particularly important in the catches landed at local ports (MMO, unpublished data)</w:t>
      </w:r>
      <w:r w:rsidR="00DD19C6">
        <w:t xml:space="preserve">. </w:t>
      </w:r>
      <w:r w:rsidRPr="00C52984">
        <w:rPr>
          <w:szCs w:val="22"/>
        </w:rPr>
        <w:t>The estuary is used by marine fish (Environment Agency, unpublished data) and is a nursery for bass (</w:t>
      </w:r>
      <w:r w:rsidRPr="00C52984">
        <w:t>Kelley, 1986</w:t>
      </w:r>
      <w:r w:rsidRPr="00C52984">
        <w:rPr>
          <w:szCs w:val="22"/>
        </w:rPr>
        <w:t xml:space="preserve">), so there is the potential for developments within the Taw Torridge to have implications for the local inshore fisheries. However, the scale of the contribution by the Taw Torridge, and its relative importance compared to other local estuaries (such as Milford Haven, Burry Port and the wider Bristol Channel) is unknown. </w:t>
      </w:r>
    </w:p>
    <w:p w:rsidR="00BB78CB" w:rsidRDefault="00BB78CB" w:rsidP="00CF681C">
      <w:pPr>
        <w:tabs>
          <w:tab w:val="left" w:pos="567"/>
        </w:tabs>
        <w:spacing w:line="360" w:lineRule="auto"/>
        <w:jc w:val="left"/>
        <w:rPr>
          <w:szCs w:val="22"/>
        </w:rPr>
      </w:pPr>
    </w:p>
    <w:p w:rsidR="00610806" w:rsidRDefault="00BB78CB" w:rsidP="00CF681C">
      <w:pPr>
        <w:spacing w:line="360" w:lineRule="auto"/>
        <w:jc w:val="left"/>
      </w:pPr>
      <w:r w:rsidRPr="00C52984">
        <w:t xml:space="preserve">The most significant benefit resulting from carrier services is </w:t>
      </w:r>
      <w:r w:rsidR="001502D0">
        <w:t>as a</w:t>
      </w:r>
      <w:r w:rsidR="001502D0" w:rsidRPr="00C52984">
        <w:t xml:space="preserve"> </w:t>
      </w:r>
      <w:r w:rsidRPr="00C52984">
        <w:t>unique military facility for amphibious craft training</w:t>
      </w:r>
      <w:r w:rsidR="00DD19C6">
        <w:t xml:space="preserve">. </w:t>
      </w:r>
      <w:r w:rsidR="001502D0">
        <w:t xml:space="preserve">The military use the area between </w:t>
      </w:r>
      <w:r w:rsidR="000E360F">
        <w:t>one</w:t>
      </w:r>
      <w:r w:rsidR="001502D0">
        <w:t xml:space="preserve"> and </w:t>
      </w:r>
      <w:r w:rsidR="000E360F">
        <w:t>three</w:t>
      </w:r>
      <w:r w:rsidR="001502D0">
        <w:t xml:space="preserve"> times per week. </w:t>
      </w:r>
      <w:r w:rsidRPr="00C52984">
        <w:t>Cultural services provide much greater benefits, particularly given the importance of tourism to the area</w:t>
      </w:r>
      <w:r w:rsidR="00DD19C6">
        <w:t xml:space="preserve">. </w:t>
      </w:r>
      <w:r w:rsidR="00D47CF5" w:rsidRPr="00C52984">
        <w:t xml:space="preserve">It has been estimated that tourism supports over 20,000 jobs (Northern Devon Partnership, 2009), </w:t>
      </w:r>
      <w:r w:rsidR="00610806">
        <w:t>although t</w:t>
      </w:r>
      <w:r w:rsidR="006F42B6">
        <w:t>h</w:t>
      </w:r>
      <w:r w:rsidR="00610806" w:rsidRPr="00C52984">
        <w:t xml:space="preserve">e </w:t>
      </w:r>
      <w:r w:rsidR="00610806">
        <w:t>specific role</w:t>
      </w:r>
      <w:r w:rsidR="00610806" w:rsidRPr="00C52984">
        <w:t xml:space="preserve"> of the estuary and coastal area </w:t>
      </w:r>
      <w:r w:rsidR="00610806">
        <w:t>in supporting</w:t>
      </w:r>
      <w:r w:rsidR="00610806" w:rsidRPr="00C52984">
        <w:t xml:space="preserve"> tourism is difficult to assess as there</w:t>
      </w:r>
      <w:r w:rsidR="00610806" w:rsidRPr="00C52984">
        <w:rPr>
          <w:szCs w:val="22"/>
          <w:lang w:eastAsia="en-GB"/>
        </w:rPr>
        <w:t xml:space="preserve"> have been few detailed studies of recreational use of the Taw Torridge</w:t>
      </w:r>
      <w:r w:rsidR="00DD19C6">
        <w:rPr>
          <w:szCs w:val="22"/>
          <w:lang w:eastAsia="en-GB"/>
        </w:rPr>
        <w:t xml:space="preserve">. </w:t>
      </w:r>
      <w:r w:rsidR="00470829" w:rsidRPr="00C52984">
        <w:rPr>
          <w:szCs w:val="22"/>
        </w:rPr>
        <w:t>However,</w:t>
      </w:r>
      <w:r w:rsidR="00470829">
        <w:rPr>
          <w:szCs w:val="22"/>
        </w:rPr>
        <w:t xml:space="preserve"> </w:t>
      </w:r>
      <w:proofErr w:type="spellStart"/>
      <w:r w:rsidR="00073A57" w:rsidRPr="00C52984">
        <w:rPr>
          <w:szCs w:val="22"/>
          <w:lang w:eastAsia="en-GB"/>
        </w:rPr>
        <w:t>Abell</w:t>
      </w:r>
      <w:proofErr w:type="spellEnd"/>
      <w:r w:rsidR="00073A57" w:rsidRPr="00C52984">
        <w:rPr>
          <w:szCs w:val="22"/>
          <w:lang w:eastAsia="en-GB"/>
        </w:rPr>
        <w:t xml:space="preserve"> and </w:t>
      </w:r>
      <w:proofErr w:type="spellStart"/>
      <w:r w:rsidR="00073A57" w:rsidRPr="00C52984">
        <w:rPr>
          <w:szCs w:val="22"/>
          <w:lang w:eastAsia="en-GB"/>
        </w:rPr>
        <w:t>Bromham</w:t>
      </w:r>
      <w:proofErr w:type="spellEnd"/>
      <w:r w:rsidR="00073A57" w:rsidRPr="00C52984">
        <w:rPr>
          <w:szCs w:val="22"/>
          <w:lang w:eastAsia="en-GB"/>
        </w:rPr>
        <w:t xml:space="preserve"> (2009)</w:t>
      </w:r>
      <w:r w:rsidR="000E360F">
        <w:rPr>
          <w:szCs w:val="22"/>
          <w:lang w:eastAsia="en-GB"/>
        </w:rPr>
        <w:t xml:space="preserve"> </w:t>
      </w:r>
      <w:r w:rsidR="00610806" w:rsidRPr="00C52984">
        <w:rPr>
          <w:szCs w:val="22"/>
          <w:lang w:eastAsia="en-GB"/>
        </w:rPr>
        <w:t>estimated that</w:t>
      </w:r>
      <w:r w:rsidR="0032122F">
        <w:rPr>
          <w:szCs w:val="22"/>
          <w:lang w:eastAsia="en-GB"/>
        </w:rPr>
        <w:t xml:space="preserve"> in 2008, </w:t>
      </w:r>
      <w:r w:rsidR="009B0528">
        <w:rPr>
          <w:szCs w:val="22"/>
          <w:lang w:eastAsia="en-GB"/>
        </w:rPr>
        <w:t>nearly 150,000</w:t>
      </w:r>
      <w:r w:rsidR="00610806" w:rsidRPr="00C52984">
        <w:rPr>
          <w:szCs w:val="22"/>
          <w:lang w:eastAsia="en-GB"/>
        </w:rPr>
        <w:t xml:space="preserve"> visitors</w:t>
      </w:r>
      <w:r w:rsidR="0032122F">
        <w:rPr>
          <w:szCs w:val="22"/>
          <w:lang w:eastAsia="en-GB"/>
        </w:rPr>
        <w:t xml:space="preserve"> we</w:t>
      </w:r>
      <w:r w:rsidR="006F42B6">
        <w:rPr>
          <w:szCs w:val="22"/>
          <w:lang w:eastAsia="en-GB"/>
        </w:rPr>
        <w:t>re</w:t>
      </w:r>
      <w:r w:rsidR="00610806" w:rsidRPr="00C52984">
        <w:rPr>
          <w:szCs w:val="22"/>
          <w:lang w:eastAsia="en-GB"/>
        </w:rPr>
        <w:t xml:space="preserve"> attracted, at least in part, by local </w:t>
      </w:r>
      <w:proofErr w:type="spellStart"/>
      <w:r w:rsidR="00610806" w:rsidRPr="00C52984">
        <w:rPr>
          <w:szCs w:val="22"/>
          <w:lang w:eastAsia="en-GB"/>
        </w:rPr>
        <w:t>watersports</w:t>
      </w:r>
      <w:proofErr w:type="spellEnd"/>
      <w:r w:rsidR="00610806" w:rsidRPr="00C52984">
        <w:rPr>
          <w:szCs w:val="22"/>
          <w:lang w:eastAsia="en-GB"/>
        </w:rPr>
        <w:t xml:space="preserve"> opportunities</w:t>
      </w:r>
      <w:r w:rsidR="00DD19C6">
        <w:rPr>
          <w:szCs w:val="22"/>
          <w:lang w:eastAsia="en-GB"/>
        </w:rPr>
        <w:t xml:space="preserve">. </w:t>
      </w:r>
    </w:p>
    <w:p w:rsidR="00610806" w:rsidRDefault="00610806" w:rsidP="00CF681C">
      <w:pPr>
        <w:spacing w:line="360" w:lineRule="auto"/>
        <w:jc w:val="left"/>
        <w:rPr>
          <w:szCs w:val="22"/>
          <w:lang w:eastAsia="en-GB"/>
        </w:rPr>
      </w:pPr>
    </w:p>
    <w:p w:rsidR="00D47CF5" w:rsidRPr="00C52984" w:rsidRDefault="00D47CF5" w:rsidP="00CF681C">
      <w:pPr>
        <w:spacing w:line="360" w:lineRule="auto"/>
        <w:jc w:val="left"/>
        <w:rPr>
          <w:szCs w:val="22"/>
          <w:lang w:eastAsia="en-GB"/>
        </w:rPr>
      </w:pPr>
      <w:r w:rsidRPr="00C52984">
        <w:rPr>
          <w:szCs w:val="22"/>
          <w:lang w:eastAsia="en-GB"/>
        </w:rPr>
        <w:t xml:space="preserve">An indication of the </w:t>
      </w:r>
      <w:r w:rsidR="00610806">
        <w:rPr>
          <w:szCs w:val="22"/>
          <w:lang w:eastAsia="en-GB"/>
        </w:rPr>
        <w:t>uptake of recreational benefits by</w:t>
      </w:r>
      <w:r w:rsidR="00075098">
        <w:rPr>
          <w:szCs w:val="22"/>
          <w:lang w:eastAsia="en-GB"/>
        </w:rPr>
        <w:t xml:space="preserve"> the</w:t>
      </w:r>
      <w:r w:rsidR="00610806">
        <w:rPr>
          <w:szCs w:val="22"/>
          <w:lang w:eastAsia="en-GB"/>
        </w:rPr>
        <w:t xml:space="preserve"> local</w:t>
      </w:r>
      <w:r w:rsidR="00075098">
        <w:rPr>
          <w:szCs w:val="22"/>
          <w:lang w:eastAsia="en-GB"/>
        </w:rPr>
        <w:t xml:space="preserve"> population</w:t>
      </w:r>
      <w:r w:rsidR="00610806">
        <w:rPr>
          <w:szCs w:val="22"/>
          <w:lang w:eastAsia="en-GB"/>
        </w:rPr>
        <w:t xml:space="preserve"> was determined</w:t>
      </w:r>
      <w:r w:rsidRPr="00C52984">
        <w:rPr>
          <w:szCs w:val="22"/>
          <w:lang w:eastAsia="en-GB"/>
        </w:rPr>
        <w:t xml:space="preserve"> from the membership of local clubs and organisations, which suggests that angling and sailing are particularly well subscribed</w:t>
      </w:r>
      <w:r w:rsidR="00DD19C6">
        <w:rPr>
          <w:szCs w:val="22"/>
          <w:lang w:eastAsia="en-GB"/>
        </w:rPr>
        <w:t xml:space="preserve">. </w:t>
      </w:r>
      <w:r w:rsidRPr="00C52984">
        <w:rPr>
          <w:szCs w:val="22"/>
          <w:lang w:eastAsia="en-GB"/>
        </w:rPr>
        <w:t xml:space="preserve">Nature watching is also poorly quantified, although </w:t>
      </w:r>
      <w:r w:rsidR="00073A57">
        <w:rPr>
          <w:szCs w:val="22"/>
          <w:lang w:eastAsia="en-GB"/>
        </w:rPr>
        <w:t xml:space="preserve">potentially this is an important </w:t>
      </w:r>
      <w:r w:rsidR="00073A57">
        <w:rPr>
          <w:szCs w:val="22"/>
          <w:lang w:eastAsia="en-GB"/>
        </w:rPr>
        <w:lastRenderedPageBreak/>
        <w:t xml:space="preserve">benefit as </w:t>
      </w:r>
      <w:r w:rsidRPr="00C52984">
        <w:rPr>
          <w:szCs w:val="22"/>
          <w:lang w:eastAsia="en-GB"/>
        </w:rPr>
        <w:t xml:space="preserve">the estuary provides opportunities to observe </w:t>
      </w:r>
      <w:proofErr w:type="spellStart"/>
      <w:r w:rsidR="00073A57">
        <w:rPr>
          <w:szCs w:val="22"/>
          <w:lang w:eastAsia="en-GB"/>
        </w:rPr>
        <w:t>waterbirds</w:t>
      </w:r>
      <w:proofErr w:type="spellEnd"/>
      <w:r w:rsidR="00073A57">
        <w:rPr>
          <w:szCs w:val="22"/>
          <w:lang w:eastAsia="en-GB"/>
        </w:rPr>
        <w:t xml:space="preserve">, </w:t>
      </w:r>
      <w:r w:rsidRPr="00C52984">
        <w:rPr>
          <w:szCs w:val="22"/>
          <w:lang w:eastAsia="en-GB"/>
        </w:rPr>
        <w:t>otters</w:t>
      </w:r>
      <w:r w:rsidR="00A4466D" w:rsidRPr="00C52984">
        <w:rPr>
          <w:szCs w:val="22"/>
          <w:lang w:eastAsia="en-GB"/>
        </w:rPr>
        <w:t xml:space="preserve"> and</w:t>
      </w:r>
      <w:r w:rsidRPr="00C52984">
        <w:rPr>
          <w:szCs w:val="22"/>
          <w:lang w:eastAsia="en-GB"/>
        </w:rPr>
        <w:t xml:space="preserve"> occasional marine mammals</w:t>
      </w:r>
      <w:r w:rsidR="00DD19C6">
        <w:rPr>
          <w:szCs w:val="22"/>
          <w:lang w:eastAsia="en-GB"/>
        </w:rPr>
        <w:t xml:space="preserve">. </w:t>
      </w:r>
      <w:r w:rsidR="00A4466D" w:rsidRPr="00C52984">
        <w:rPr>
          <w:szCs w:val="22"/>
          <w:lang w:eastAsia="en-GB"/>
        </w:rPr>
        <w:t>Eighty eight</w:t>
      </w:r>
      <w:r w:rsidR="00A4466D" w:rsidRPr="00C52984">
        <w:rPr>
          <w:szCs w:val="22"/>
        </w:rPr>
        <w:t xml:space="preserve"> </w:t>
      </w:r>
      <w:proofErr w:type="spellStart"/>
      <w:r w:rsidR="00A4466D" w:rsidRPr="00C52984">
        <w:rPr>
          <w:szCs w:val="22"/>
        </w:rPr>
        <w:t>waterbird</w:t>
      </w:r>
      <w:proofErr w:type="spellEnd"/>
      <w:r w:rsidR="00A4466D" w:rsidRPr="00C52984">
        <w:rPr>
          <w:szCs w:val="22"/>
        </w:rPr>
        <w:t xml:space="preserve"> species including rare visitors to the UK such as the spoonbill </w:t>
      </w:r>
      <w:r w:rsidR="00A4466D" w:rsidRPr="00C52984">
        <w:t>have been recorded in the estuary (</w:t>
      </w:r>
      <w:proofErr w:type="spellStart"/>
      <w:r w:rsidR="00A4466D" w:rsidRPr="00C52984">
        <w:t>Calbrade</w:t>
      </w:r>
      <w:proofErr w:type="spellEnd"/>
      <w:r w:rsidR="00A4466D" w:rsidRPr="00C52984">
        <w:t xml:space="preserve"> et al., 2010)</w:t>
      </w:r>
      <w:r w:rsidR="00DD19C6">
        <w:t xml:space="preserve">. </w:t>
      </w:r>
    </w:p>
    <w:p w:rsidR="00D47CF5" w:rsidRPr="00C52984" w:rsidRDefault="00D47CF5" w:rsidP="00CF681C">
      <w:pPr>
        <w:spacing w:line="360" w:lineRule="auto"/>
        <w:jc w:val="left"/>
        <w:rPr>
          <w:szCs w:val="22"/>
          <w:lang w:eastAsia="en-GB"/>
        </w:rPr>
      </w:pPr>
    </w:p>
    <w:p w:rsidR="00D47CF5" w:rsidRPr="00C52984" w:rsidRDefault="00A4466D" w:rsidP="00CF681C">
      <w:pPr>
        <w:spacing w:line="360" w:lineRule="auto"/>
        <w:jc w:val="left"/>
      </w:pPr>
      <w:r w:rsidRPr="00C52984">
        <w:rPr>
          <w:szCs w:val="22"/>
        </w:rPr>
        <w:t xml:space="preserve">Schools and field studies centres make educational visits to the estuary, and </w:t>
      </w:r>
      <w:r w:rsidRPr="00C52984">
        <w:t>academic interest in the Taw Torridge is similar to that for other small estuaries in the region, although considerably less than for major, well-studied estuaries such as the Severn and Tamar</w:t>
      </w:r>
      <w:r w:rsidR="00DD19C6">
        <w:t xml:space="preserve">. </w:t>
      </w:r>
      <w:r w:rsidRPr="00C52984">
        <w:t>The Taw Torridge estuary contains many features of archaeological interest (</w:t>
      </w:r>
      <w:proofErr w:type="spellStart"/>
      <w:r w:rsidRPr="00C52984">
        <w:t>Preece</w:t>
      </w:r>
      <w:proofErr w:type="spellEnd"/>
      <w:r w:rsidRPr="00C52984">
        <w:t>, 2008), including two scheduled ancient monuments (</w:t>
      </w:r>
      <w:r w:rsidRPr="00C52984">
        <w:rPr>
          <w:szCs w:val="22"/>
        </w:rPr>
        <w:t>Planning Policy Unit</w:t>
      </w:r>
      <w:r w:rsidR="00DF273E" w:rsidRPr="00C52984">
        <w:rPr>
          <w:szCs w:val="22"/>
        </w:rPr>
        <w:t xml:space="preserve">, </w:t>
      </w:r>
      <w:r w:rsidRPr="00C52984">
        <w:rPr>
          <w:rStyle w:val="Strong"/>
          <w:b w:val="0"/>
          <w:szCs w:val="22"/>
        </w:rPr>
        <w:t>2003; TTEP, 1998</w:t>
      </w:r>
      <w:r w:rsidRPr="00C52984">
        <w:t>)</w:t>
      </w:r>
      <w:r w:rsidR="00DD19C6">
        <w:t xml:space="preserve">. </w:t>
      </w:r>
      <w:r w:rsidRPr="00C52984">
        <w:rPr>
          <w:szCs w:val="22"/>
        </w:rPr>
        <w:t xml:space="preserve"> </w:t>
      </w:r>
      <w:r w:rsidRPr="00C52984">
        <w:t>Shipbuilding</w:t>
      </w:r>
      <w:r w:rsidR="00745875" w:rsidRPr="00C52984">
        <w:t xml:space="preserve"> and fishing are</w:t>
      </w:r>
      <w:r w:rsidRPr="00C52984">
        <w:t xml:space="preserve"> extremely important to the heritage of the area (</w:t>
      </w:r>
      <w:proofErr w:type="spellStart"/>
      <w:r w:rsidRPr="00C52984">
        <w:t>Preece</w:t>
      </w:r>
      <w:proofErr w:type="spellEnd"/>
      <w:r w:rsidRPr="00C52984">
        <w:t>, 2008; Farr, 1976</w:t>
      </w:r>
      <w:r w:rsidR="00745875" w:rsidRPr="00C52984">
        <w:t>; Oppenheimer, 1968</w:t>
      </w:r>
      <w:r w:rsidRPr="00C52984">
        <w:t>)</w:t>
      </w:r>
      <w:r w:rsidR="00745875" w:rsidRPr="00C52984">
        <w:t>, and maintaining links to this heritage supports local tourism</w:t>
      </w:r>
      <w:r w:rsidR="00DD19C6">
        <w:t xml:space="preserve">. </w:t>
      </w:r>
    </w:p>
    <w:p w:rsidR="00745875" w:rsidRPr="00C52984" w:rsidRDefault="00745875" w:rsidP="00CF681C">
      <w:pPr>
        <w:spacing w:line="360" w:lineRule="auto"/>
        <w:jc w:val="left"/>
      </w:pPr>
    </w:p>
    <w:p w:rsidR="00CF654E" w:rsidRPr="00C52984" w:rsidRDefault="00745875" w:rsidP="00CF681C">
      <w:pPr>
        <w:spacing w:line="360" w:lineRule="auto"/>
        <w:jc w:val="left"/>
      </w:pPr>
      <w:r w:rsidRPr="00C52984">
        <w:t>The cultural heritage and the environment of the area inspire individual artists, although the best known contribution of the Taw Torridge to the Arts remains as the inspiration for</w:t>
      </w:r>
      <w:r w:rsidR="009231A1">
        <w:t xml:space="preserve"> Henry Williamson’s 1927 novel</w:t>
      </w:r>
      <w:r w:rsidRPr="00C52984">
        <w:t xml:space="preserve"> </w:t>
      </w:r>
      <w:proofErr w:type="spellStart"/>
      <w:r w:rsidRPr="00C52984">
        <w:rPr>
          <w:i/>
        </w:rPr>
        <w:t>Tarka</w:t>
      </w:r>
      <w:proofErr w:type="spellEnd"/>
      <w:r w:rsidRPr="00C52984">
        <w:rPr>
          <w:i/>
        </w:rPr>
        <w:t xml:space="preserve"> the Otter</w:t>
      </w:r>
      <w:r w:rsidR="00DD19C6">
        <w:t xml:space="preserve">. </w:t>
      </w:r>
      <w:r w:rsidR="0001494E" w:rsidRPr="00C52984">
        <w:t xml:space="preserve">The estuary and its adjacent open coastline provide a varied seascape, with mud and sandflats, sandy and rocky shores, and the extensive dunes of the </w:t>
      </w:r>
      <w:proofErr w:type="spellStart"/>
      <w:r w:rsidR="0001494E" w:rsidRPr="00C52984">
        <w:t>Braunton</w:t>
      </w:r>
      <w:proofErr w:type="spellEnd"/>
      <w:r w:rsidR="0001494E" w:rsidRPr="00C52984">
        <w:t xml:space="preserve"> Burrows</w:t>
      </w:r>
      <w:r w:rsidR="00DD19C6">
        <w:t xml:space="preserve">. </w:t>
      </w:r>
      <w:r w:rsidR="00BB78CB" w:rsidRPr="00C52984">
        <w:t>The visual appeal of the seascapes extending from the estuary mouth has been recognised by their designation as an Area of Outstanding Natural Beauty.</w:t>
      </w:r>
    </w:p>
    <w:p w:rsidR="00CF654E" w:rsidRPr="00C52984" w:rsidRDefault="00CF654E" w:rsidP="00CF681C">
      <w:pPr>
        <w:spacing w:line="360" w:lineRule="auto"/>
        <w:jc w:val="left"/>
      </w:pPr>
    </w:p>
    <w:p w:rsidR="0076166C" w:rsidRPr="00C52984" w:rsidRDefault="00BB78CB" w:rsidP="00CF681C">
      <w:pPr>
        <w:spacing w:line="360" w:lineRule="auto"/>
        <w:jc w:val="left"/>
      </w:pPr>
      <w:r w:rsidRPr="00BB78CB">
        <w:t xml:space="preserve">The management of waste entering the Taw Torridge is a serious </w:t>
      </w:r>
      <w:r w:rsidR="00090451">
        <w:t xml:space="preserve">environmental </w:t>
      </w:r>
      <w:r w:rsidRPr="00BB78CB">
        <w:t>issue,</w:t>
      </w:r>
      <w:r w:rsidR="00090451">
        <w:t xml:space="preserve"> since effluent has been found to</w:t>
      </w:r>
      <w:r w:rsidRPr="00BB78CB">
        <w:t xml:space="preserve"> affect</w:t>
      </w:r>
      <w:r w:rsidR="00FB3D8F">
        <w:t xml:space="preserve"> the quality of</w:t>
      </w:r>
      <w:r w:rsidRPr="00BB78CB">
        <w:t xml:space="preserve"> both shellfish</w:t>
      </w:r>
      <w:r w:rsidR="00FB3D8F">
        <w:t xml:space="preserve"> </w:t>
      </w:r>
      <w:r w:rsidR="00FB3D8F" w:rsidRPr="00FB3D8F">
        <w:rPr>
          <w:szCs w:val="22"/>
        </w:rPr>
        <w:t>(</w:t>
      </w:r>
      <w:r w:rsidR="00FB3D8F" w:rsidRPr="00FB3D8F">
        <w:rPr>
          <w:color w:val="000000"/>
          <w:szCs w:val="22"/>
        </w:rPr>
        <w:t xml:space="preserve">UK National Reference </w:t>
      </w:r>
      <w:r w:rsidR="00FB3D8F" w:rsidRPr="00FB3D8F">
        <w:rPr>
          <w:rStyle w:val="Strong"/>
          <w:b w:val="0"/>
          <w:color w:val="000000"/>
          <w:szCs w:val="22"/>
        </w:rPr>
        <w:t>Laboratory</w:t>
      </w:r>
      <w:r w:rsidR="00FB3D8F" w:rsidRPr="00FB3D8F">
        <w:rPr>
          <w:szCs w:val="22"/>
        </w:rPr>
        <w:t>, unpublished data)</w:t>
      </w:r>
      <w:r w:rsidRPr="00FB3D8F">
        <w:rPr>
          <w:szCs w:val="22"/>
        </w:rPr>
        <w:t xml:space="preserve"> </w:t>
      </w:r>
      <w:r w:rsidRPr="00BB78CB">
        <w:t>and bathing water</w:t>
      </w:r>
      <w:r w:rsidR="00FB3D8F">
        <w:t>s</w:t>
      </w:r>
      <w:r w:rsidRPr="00BB78CB">
        <w:t xml:space="preserve"> (Environment Agency, 2010)</w:t>
      </w:r>
      <w:r w:rsidR="00DD19C6">
        <w:t xml:space="preserve">. </w:t>
      </w:r>
      <w:r w:rsidRPr="00BB78CB">
        <w:t xml:space="preserve">The Taw has been designated a </w:t>
      </w:r>
      <w:r w:rsidRPr="00BB78CB">
        <w:rPr>
          <w:szCs w:val="22"/>
        </w:rPr>
        <w:t>Sensitive Area (Eutrophic) since 1998 under the Urban Waste Water Treatment Directive (DEFRA, 2008) and is also a Nitrate Vulnerable Zone under the Nitrates Directive (DEFRA, 2010)</w:t>
      </w:r>
      <w:r w:rsidR="00DD19C6">
        <w:rPr>
          <w:szCs w:val="22"/>
        </w:rPr>
        <w:t xml:space="preserve">. </w:t>
      </w:r>
      <w:r w:rsidR="00DC03C2" w:rsidRPr="00BB78CB">
        <w:t>The</w:t>
      </w:r>
      <w:r w:rsidR="00DC03C2" w:rsidRPr="00C52984">
        <w:t xml:space="preserve"> </w:t>
      </w:r>
      <w:r w:rsidR="000C02CF" w:rsidRPr="00C52984">
        <w:t xml:space="preserve">estuarine habitats (particularly the </w:t>
      </w:r>
      <w:r w:rsidR="00DC03C2" w:rsidRPr="00C52984">
        <w:t>areas of saltmarsh</w:t>
      </w:r>
      <w:r w:rsidR="000C02CF" w:rsidRPr="00C52984">
        <w:t xml:space="preserve"> and mudflat and the</w:t>
      </w:r>
      <w:r w:rsidR="00DC03C2" w:rsidRPr="00C52984">
        <w:t xml:space="preserve"> </w:t>
      </w:r>
      <w:r w:rsidR="006A7B6D" w:rsidRPr="00C52984">
        <w:t>shellfish</w:t>
      </w:r>
      <w:r w:rsidR="00DC03C2" w:rsidRPr="00C52984">
        <w:t xml:space="preserve"> beds</w:t>
      </w:r>
      <w:r w:rsidR="000C02CF" w:rsidRPr="00C52984">
        <w:t xml:space="preserve">) </w:t>
      </w:r>
      <w:r w:rsidR="002D6F9C" w:rsidRPr="00C52984">
        <w:t xml:space="preserve">can </w:t>
      </w:r>
      <w:r w:rsidR="00C22927" w:rsidRPr="00C52984">
        <w:t xml:space="preserve">contribute to the provision of clean water by </w:t>
      </w:r>
      <w:r w:rsidR="002D6F9C" w:rsidRPr="00C52984">
        <w:t>sequester</w:t>
      </w:r>
      <w:r w:rsidR="00C22927" w:rsidRPr="00C52984">
        <w:t>ing</w:t>
      </w:r>
      <w:r w:rsidR="002D6F9C" w:rsidRPr="00C52984">
        <w:t xml:space="preserve"> pollutants</w:t>
      </w:r>
      <w:r w:rsidR="00DD19C6">
        <w:t xml:space="preserve">. </w:t>
      </w:r>
      <w:r w:rsidR="00265032">
        <w:t>T</w:t>
      </w:r>
      <w:r w:rsidR="0076166C" w:rsidRPr="00C52984">
        <w:t>he regular occurrence of poor water quality suggests that contaminant supply exceeds the capacity of the ecosystem to sufficiently remediate the pollutants introduced into it</w:t>
      </w:r>
      <w:r w:rsidR="00DD19C6">
        <w:t xml:space="preserve">. </w:t>
      </w:r>
    </w:p>
    <w:p w:rsidR="00BB78CB" w:rsidRDefault="00BB78CB" w:rsidP="00CF681C">
      <w:pPr>
        <w:spacing w:line="360" w:lineRule="auto"/>
        <w:jc w:val="left"/>
        <w:rPr>
          <w:szCs w:val="22"/>
        </w:rPr>
      </w:pPr>
    </w:p>
    <w:p w:rsidR="00BB78CB" w:rsidRDefault="00BB78CB" w:rsidP="00CF681C">
      <w:pPr>
        <w:spacing w:line="360" w:lineRule="auto"/>
        <w:jc w:val="left"/>
        <w:rPr>
          <w:szCs w:val="22"/>
        </w:rPr>
      </w:pPr>
      <w:r w:rsidRPr="00C52984">
        <w:rPr>
          <w:szCs w:val="22"/>
        </w:rPr>
        <w:t>There is a significant flood risk to settlements surrounding the Taw Torridge estuary, many of which have substantial areas classified within the highest risk category (Zone 3 in the Government’s Planning Policy Statement 25) (Environment Agency, 2011)</w:t>
      </w:r>
      <w:r w:rsidR="00DD19C6">
        <w:rPr>
          <w:szCs w:val="22"/>
        </w:rPr>
        <w:t xml:space="preserve">. </w:t>
      </w:r>
      <w:r w:rsidRPr="00C52984">
        <w:rPr>
          <w:szCs w:val="22"/>
        </w:rPr>
        <w:t xml:space="preserve">Nearly 2,000 properties are at risk in Barnstaple, 800 in Bideford and 500 in </w:t>
      </w:r>
      <w:proofErr w:type="spellStart"/>
      <w:r w:rsidRPr="00C52984">
        <w:rPr>
          <w:szCs w:val="22"/>
        </w:rPr>
        <w:t>Braunton</w:t>
      </w:r>
      <w:proofErr w:type="spellEnd"/>
      <w:r w:rsidRPr="00C52984">
        <w:rPr>
          <w:szCs w:val="22"/>
        </w:rPr>
        <w:t xml:space="preserve"> (Environment Agency, 2009)</w:t>
      </w:r>
      <w:r w:rsidR="00DD19C6">
        <w:rPr>
          <w:szCs w:val="22"/>
        </w:rPr>
        <w:t xml:space="preserve">. </w:t>
      </w:r>
      <w:r w:rsidRPr="00C52984">
        <w:rPr>
          <w:szCs w:val="22"/>
        </w:rPr>
        <w:t>Floods also affect infrastructure including schools, hospitals, roads, railways, and electricity substations, although no sewage or water treatment plants are thought to be at risk (Environment Agency, 2009)</w:t>
      </w:r>
      <w:r w:rsidR="00DD19C6">
        <w:rPr>
          <w:szCs w:val="22"/>
        </w:rPr>
        <w:t xml:space="preserve">. </w:t>
      </w:r>
      <w:r w:rsidRPr="00C52984">
        <w:rPr>
          <w:szCs w:val="22"/>
        </w:rPr>
        <w:t>The most recent severe flooding event occurred in December 2012.</w:t>
      </w:r>
    </w:p>
    <w:p w:rsidR="00BB78CB" w:rsidRPr="00C52984" w:rsidRDefault="00BB78CB" w:rsidP="00CF681C">
      <w:pPr>
        <w:spacing w:line="360" w:lineRule="auto"/>
        <w:jc w:val="left"/>
        <w:rPr>
          <w:szCs w:val="22"/>
        </w:rPr>
      </w:pPr>
    </w:p>
    <w:p w:rsidR="00320ABB" w:rsidRDefault="00320ABB" w:rsidP="00CF681C">
      <w:pPr>
        <w:spacing w:line="360" w:lineRule="auto"/>
        <w:jc w:val="left"/>
      </w:pPr>
      <w:r w:rsidRPr="00C52984">
        <w:rPr>
          <w:szCs w:val="22"/>
        </w:rPr>
        <w:lastRenderedPageBreak/>
        <w:t>There is some degree of manmade flood defence along almost the entire length of the estuary, and so the role of the ecosystem has probably been superseded by these interventions</w:t>
      </w:r>
      <w:r w:rsidR="00DD19C6">
        <w:rPr>
          <w:szCs w:val="22"/>
        </w:rPr>
        <w:t xml:space="preserve">. </w:t>
      </w:r>
      <w:r w:rsidRPr="00C52984">
        <w:t xml:space="preserve">However, a policy of managed realignment has been proposed for </w:t>
      </w:r>
      <w:r w:rsidR="00D763B9" w:rsidRPr="00C52984">
        <w:t>certain</w:t>
      </w:r>
      <w:r w:rsidRPr="00C52984">
        <w:t xml:space="preserve"> parts of the estuary, which would allow previously enclosed and defended areas to revert to intertidal zones (Environment Agency, 2008; </w:t>
      </w:r>
      <w:proofErr w:type="spellStart"/>
      <w:r w:rsidRPr="00C52984">
        <w:t>Halcrow</w:t>
      </w:r>
      <w:proofErr w:type="spellEnd"/>
      <w:r w:rsidRPr="00C52984">
        <w:t xml:space="preserve"> Group Ltd, 2009)</w:t>
      </w:r>
      <w:r w:rsidR="00DD19C6">
        <w:t xml:space="preserve">. </w:t>
      </w:r>
      <w:r w:rsidR="00D763B9" w:rsidRPr="00C52984">
        <w:t>The role of the ecosystem in flood and erosion control may therefore become more important.</w:t>
      </w:r>
    </w:p>
    <w:p w:rsidR="00306409" w:rsidRPr="00C52984" w:rsidRDefault="00306409" w:rsidP="00CF681C">
      <w:pPr>
        <w:spacing w:line="360" w:lineRule="auto"/>
        <w:jc w:val="left"/>
        <w:rPr>
          <w:szCs w:val="22"/>
        </w:rPr>
      </w:pPr>
    </w:p>
    <w:p w:rsidR="000C02CF" w:rsidRPr="00C52984" w:rsidRDefault="000C02CF" w:rsidP="00CF681C">
      <w:pPr>
        <w:spacing w:line="360" w:lineRule="auto"/>
        <w:jc w:val="left"/>
      </w:pPr>
      <w:r w:rsidRPr="00C52984">
        <w:t>Air quality and climate regulation are particularly difficult to quantify as a result of the wide range of other factors (which are not necessarily marine or local) that contribute to the supply of the benefit</w:t>
      </w:r>
      <w:r w:rsidR="00DD19C6">
        <w:t xml:space="preserve">. </w:t>
      </w:r>
      <w:r w:rsidRPr="00C52984">
        <w:t>The global scale of climate processes suggests that the estuary, in isolation, does not provide a significant benefit</w:t>
      </w:r>
      <w:r w:rsidR="00DD19C6">
        <w:t xml:space="preserve">. </w:t>
      </w:r>
      <w:r w:rsidRPr="00C52984">
        <w:t xml:space="preserve"> There is no data on the non-use or option use values for the estuary.</w:t>
      </w:r>
    </w:p>
    <w:p w:rsidR="002D6F9C" w:rsidRDefault="002D6F9C" w:rsidP="00CF681C">
      <w:pPr>
        <w:spacing w:line="360" w:lineRule="auto"/>
        <w:jc w:val="left"/>
      </w:pPr>
    </w:p>
    <w:p w:rsidR="00875956" w:rsidRPr="008B74BF" w:rsidRDefault="008B74BF" w:rsidP="00CF681C">
      <w:pPr>
        <w:spacing w:line="360" w:lineRule="auto"/>
        <w:jc w:val="left"/>
        <w:rPr>
          <w:i/>
        </w:rPr>
      </w:pPr>
      <w:r w:rsidRPr="008B74BF">
        <w:rPr>
          <w:i/>
        </w:rPr>
        <w:t>4.2.</w:t>
      </w:r>
      <w:r w:rsidR="00DD19C6">
        <w:rPr>
          <w:i/>
        </w:rPr>
        <w:t>4</w:t>
      </w:r>
      <w:r w:rsidRPr="008B74BF">
        <w:rPr>
          <w:i/>
        </w:rPr>
        <w:t xml:space="preserve"> </w:t>
      </w:r>
      <w:r w:rsidR="00875956" w:rsidRPr="008B74BF">
        <w:rPr>
          <w:i/>
        </w:rPr>
        <w:t>Quantifying changes in benefit delivery as a result of the proposed development</w:t>
      </w:r>
    </w:p>
    <w:p w:rsidR="00E35662" w:rsidRDefault="00875956" w:rsidP="00CF681C">
      <w:pPr>
        <w:spacing w:line="360" w:lineRule="auto"/>
        <w:jc w:val="left"/>
      </w:pPr>
      <w:r>
        <w:rPr>
          <w:szCs w:val="22"/>
        </w:rPr>
        <w:t xml:space="preserve">The construction of a tidal barrage </w:t>
      </w:r>
      <w:r w:rsidR="00590614">
        <w:rPr>
          <w:szCs w:val="22"/>
        </w:rPr>
        <w:t xml:space="preserve">in the Taw-Torridge would </w:t>
      </w:r>
      <w:r>
        <w:rPr>
          <w:szCs w:val="22"/>
        </w:rPr>
        <w:t xml:space="preserve">affect a broad suite of benefits </w:t>
      </w:r>
      <w:r>
        <w:t>(</w:t>
      </w:r>
      <w:r w:rsidR="000E360F">
        <w:t>s</w:t>
      </w:r>
      <w:r w:rsidR="008B74BF">
        <w:t>ee Hooper and Austen, 2013,</w:t>
      </w:r>
      <w:r w:rsidR="000D54FE">
        <w:t xml:space="preserve"> for a full discussion</w:t>
      </w:r>
      <w:r>
        <w:t>)</w:t>
      </w:r>
      <w:r w:rsidR="009D7010">
        <w:t xml:space="preserve"> and we report here</w:t>
      </w:r>
      <w:r w:rsidR="002B25AF">
        <w:t xml:space="preserve"> a </w:t>
      </w:r>
      <w:r w:rsidR="009D7010">
        <w:t xml:space="preserve">simple qualitative </w:t>
      </w:r>
      <w:r w:rsidR="002B25AF">
        <w:t>assessment of t</w:t>
      </w:r>
      <w:r w:rsidR="002B25AF">
        <w:rPr>
          <w:szCs w:val="22"/>
        </w:rPr>
        <w:t>he likely significance of the impacts that could arise</w:t>
      </w:r>
      <w:r w:rsidR="002B25AF">
        <w:t>, identifying both the</w:t>
      </w:r>
      <w:r w:rsidR="002B25AF">
        <w:rPr>
          <w:szCs w:val="22"/>
        </w:rPr>
        <w:t xml:space="preserve"> direction (positive, negative) and magnitude (high, moderate, slight) (</w:t>
      </w:r>
      <w:r w:rsidR="00B45536">
        <w:rPr>
          <w:szCs w:val="22"/>
        </w:rPr>
        <w:t>Table 3</w:t>
      </w:r>
      <w:r w:rsidR="002B25AF">
        <w:rPr>
          <w:szCs w:val="22"/>
        </w:rPr>
        <w:t xml:space="preserve">). </w:t>
      </w:r>
      <w:r w:rsidR="009D7010">
        <w:rPr>
          <w:szCs w:val="22"/>
        </w:rPr>
        <w:t xml:space="preserve">An empirical study involving the quantification and valuation of changes associated with hypothetical barrage developments in the Taw-Torridge will be reported separately.  </w:t>
      </w:r>
      <w:r w:rsidR="00E245B3">
        <w:t xml:space="preserve">In the case of an actual development that is proceeding through the planning process, greater detail will be available that will allow </w:t>
      </w:r>
      <w:r w:rsidR="00DF7EF7">
        <w:t xml:space="preserve">further </w:t>
      </w:r>
      <w:r w:rsidR="00E245B3">
        <w:t xml:space="preserve">quantification to be attempted using </w:t>
      </w:r>
      <w:r w:rsidR="002B25AF">
        <w:t>a combination of techniques including modelling, expert judgement and stakeholder consultation</w:t>
      </w:r>
      <w:r w:rsidR="00262DBA">
        <w:t xml:space="preserve">.  This </w:t>
      </w:r>
      <w:r w:rsidR="002B25AF">
        <w:t>is the case with existing feasibility studies</w:t>
      </w:r>
      <w:r w:rsidR="00E245B3">
        <w:t xml:space="preserve"> </w:t>
      </w:r>
      <w:r w:rsidR="002B25AF">
        <w:t>and EIAs</w:t>
      </w:r>
      <w:r w:rsidR="00262DBA">
        <w:t>, which attempt to quantify parameters such as the area of habitat lost or evaluate hydrological changes</w:t>
      </w:r>
      <w:r w:rsidR="002B25AF">
        <w:t>.</w:t>
      </w:r>
    </w:p>
    <w:p w:rsidR="000D54FE" w:rsidRDefault="000D54FE" w:rsidP="00CF681C">
      <w:pPr>
        <w:spacing w:line="360" w:lineRule="auto"/>
        <w:jc w:val="left"/>
        <w:rPr>
          <w:szCs w:val="22"/>
        </w:rPr>
      </w:pPr>
    </w:p>
    <w:p w:rsidR="000D54FE" w:rsidRDefault="00A433D2" w:rsidP="00CF681C">
      <w:pPr>
        <w:spacing w:line="360" w:lineRule="auto"/>
        <w:jc w:val="left"/>
        <w:rPr>
          <w:szCs w:val="22"/>
        </w:rPr>
      </w:pPr>
      <w:r>
        <w:rPr>
          <w:szCs w:val="22"/>
        </w:rPr>
        <w:t xml:space="preserve">Food benefits </w:t>
      </w:r>
      <w:r w:rsidR="00073A57">
        <w:rPr>
          <w:szCs w:val="22"/>
        </w:rPr>
        <w:t xml:space="preserve">would </w:t>
      </w:r>
      <w:r>
        <w:rPr>
          <w:szCs w:val="22"/>
        </w:rPr>
        <w:t>potentially decline due to the risk of mortality for f</w:t>
      </w:r>
      <w:r w:rsidR="00564C7D">
        <w:rPr>
          <w:szCs w:val="22"/>
        </w:rPr>
        <w:t>ish</w:t>
      </w:r>
      <w:r>
        <w:rPr>
          <w:szCs w:val="22"/>
        </w:rPr>
        <w:t xml:space="preserve"> passing the barrage</w:t>
      </w:r>
      <w:r w:rsidR="00564C7D">
        <w:rPr>
          <w:szCs w:val="22"/>
        </w:rPr>
        <w:t>.</w:t>
      </w:r>
      <w:r>
        <w:rPr>
          <w:szCs w:val="22"/>
        </w:rPr>
        <w:t xml:space="preserve"> Migratory species such as salmon and eels </w:t>
      </w:r>
      <w:r w:rsidR="00073A57">
        <w:rPr>
          <w:szCs w:val="22"/>
        </w:rPr>
        <w:t xml:space="preserve">would </w:t>
      </w:r>
      <w:r w:rsidR="000E360F">
        <w:rPr>
          <w:szCs w:val="22"/>
        </w:rPr>
        <w:t>be</w:t>
      </w:r>
      <w:r>
        <w:rPr>
          <w:szCs w:val="22"/>
        </w:rPr>
        <w:t xml:space="preserve"> most affected, although there </w:t>
      </w:r>
      <w:r w:rsidR="00073A57">
        <w:rPr>
          <w:szCs w:val="22"/>
        </w:rPr>
        <w:t xml:space="preserve">might </w:t>
      </w:r>
      <w:r>
        <w:rPr>
          <w:szCs w:val="22"/>
        </w:rPr>
        <w:t>also be impacts on marine fish</w:t>
      </w:r>
      <w:r w:rsidR="00DD19C6">
        <w:rPr>
          <w:szCs w:val="22"/>
        </w:rPr>
        <w:t xml:space="preserve">. </w:t>
      </w:r>
      <w:r>
        <w:rPr>
          <w:szCs w:val="22"/>
        </w:rPr>
        <w:t>A</w:t>
      </w:r>
      <w:r w:rsidR="002414BE">
        <w:rPr>
          <w:szCs w:val="22"/>
        </w:rPr>
        <w:t>n</w:t>
      </w:r>
      <w:r>
        <w:rPr>
          <w:szCs w:val="22"/>
        </w:rPr>
        <w:t xml:space="preserve"> associated decrease in opportunities for recreational angling could also be expected</w:t>
      </w:r>
      <w:r w:rsidR="00DD19C6">
        <w:rPr>
          <w:szCs w:val="22"/>
        </w:rPr>
        <w:t xml:space="preserve">. </w:t>
      </w:r>
      <w:r>
        <w:rPr>
          <w:szCs w:val="22"/>
        </w:rPr>
        <w:t xml:space="preserve">A decline in shellfish exploitation </w:t>
      </w:r>
      <w:r w:rsidR="00073A57">
        <w:rPr>
          <w:szCs w:val="22"/>
        </w:rPr>
        <w:t xml:space="preserve">would be </w:t>
      </w:r>
      <w:r>
        <w:rPr>
          <w:szCs w:val="22"/>
        </w:rPr>
        <w:t xml:space="preserve">likely if water quality </w:t>
      </w:r>
      <w:r w:rsidR="00073A57">
        <w:rPr>
          <w:szCs w:val="22"/>
        </w:rPr>
        <w:t xml:space="preserve">deteriorated </w:t>
      </w:r>
      <w:r>
        <w:rPr>
          <w:szCs w:val="22"/>
        </w:rPr>
        <w:t xml:space="preserve">as a result of reduced flushing, and recreational </w:t>
      </w:r>
      <w:proofErr w:type="spellStart"/>
      <w:r>
        <w:rPr>
          <w:szCs w:val="22"/>
        </w:rPr>
        <w:t>watersports</w:t>
      </w:r>
      <w:proofErr w:type="spellEnd"/>
      <w:r>
        <w:rPr>
          <w:szCs w:val="22"/>
        </w:rPr>
        <w:t xml:space="preserve"> users </w:t>
      </w:r>
      <w:r w:rsidR="00073A57">
        <w:rPr>
          <w:szCs w:val="22"/>
        </w:rPr>
        <w:t xml:space="preserve">might </w:t>
      </w:r>
      <w:r>
        <w:rPr>
          <w:szCs w:val="22"/>
        </w:rPr>
        <w:t>also be affected if contaminant levels increase</w:t>
      </w:r>
      <w:r w:rsidR="00073A57">
        <w:rPr>
          <w:szCs w:val="22"/>
        </w:rPr>
        <w:t>d</w:t>
      </w:r>
      <w:r w:rsidR="00DD19C6">
        <w:rPr>
          <w:szCs w:val="22"/>
        </w:rPr>
        <w:t xml:space="preserve">. </w:t>
      </w:r>
      <w:r w:rsidR="00642693">
        <w:rPr>
          <w:szCs w:val="22"/>
        </w:rPr>
        <w:t>Conversely, t</w:t>
      </w:r>
      <w:r w:rsidR="000D54FE">
        <w:rPr>
          <w:szCs w:val="22"/>
        </w:rPr>
        <w:t xml:space="preserve">here </w:t>
      </w:r>
      <w:r w:rsidR="00073A57">
        <w:rPr>
          <w:szCs w:val="22"/>
        </w:rPr>
        <w:t xml:space="preserve">would be </w:t>
      </w:r>
      <w:r w:rsidR="000D54FE">
        <w:rPr>
          <w:szCs w:val="22"/>
        </w:rPr>
        <w:t xml:space="preserve">the potential for </w:t>
      </w:r>
      <w:proofErr w:type="spellStart"/>
      <w:r w:rsidR="000D54FE">
        <w:rPr>
          <w:szCs w:val="22"/>
        </w:rPr>
        <w:t>watersports</w:t>
      </w:r>
      <w:proofErr w:type="spellEnd"/>
      <w:r w:rsidR="000D54FE">
        <w:rPr>
          <w:szCs w:val="22"/>
        </w:rPr>
        <w:t xml:space="preserve"> opportunities to increase as a result of higher water levels in </w:t>
      </w:r>
      <w:r w:rsidR="00642693">
        <w:rPr>
          <w:szCs w:val="22"/>
        </w:rPr>
        <w:t xml:space="preserve">areas </w:t>
      </w:r>
      <w:r w:rsidR="000D54FE">
        <w:rPr>
          <w:szCs w:val="22"/>
        </w:rPr>
        <w:t xml:space="preserve">upstream </w:t>
      </w:r>
      <w:r w:rsidR="00642693">
        <w:rPr>
          <w:szCs w:val="22"/>
        </w:rPr>
        <w:t>of a barrage</w:t>
      </w:r>
      <w:r w:rsidR="000D54FE">
        <w:rPr>
          <w:szCs w:val="22"/>
        </w:rPr>
        <w:t>, although this benefit could be tempered by the need for users to navigate the barrage when moving between different parts of the estuary</w:t>
      </w:r>
      <w:r w:rsidR="00DD19C6">
        <w:rPr>
          <w:szCs w:val="22"/>
        </w:rPr>
        <w:t xml:space="preserve">. </w:t>
      </w:r>
      <w:r w:rsidR="000D54FE">
        <w:rPr>
          <w:szCs w:val="22"/>
        </w:rPr>
        <w:t xml:space="preserve">  </w:t>
      </w:r>
    </w:p>
    <w:p w:rsidR="000D54FE" w:rsidRDefault="000D54FE" w:rsidP="00CF681C">
      <w:pPr>
        <w:tabs>
          <w:tab w:val="left" w:pos="567"/>
        </w:tabs>
        <w:spacing w:line="360" w:lineRule="auto"/>
        <w:jc w:val="left"/>
        <w:rPr>
          <w:szCs w:val="22"/>
        </w:rPr>
      </w:pPr>
    </w:p>
    <w:p w:rsidR="00217FC4" w:rsidRDefault="000D54FE" w:rsidP="00CF681C">
      <w:pPr>
        <w:tabs>
          <w:tab w:val="left" w:pos="567"/>
        </w:tabs>
        <w:spacing w:line="360" w:lineRule="auto"/>
        <w:jc w:val="left"/>
        <w:rPr>
          <w:szCs w:val="22"/>
        </w:rPr>
      </w:pPr>
      <w:r>
        <w:rPr>
          <w:szCs w:val="22"/>
        </w:rPr>
        <w:t xml:space="preserve">The changes in water levels </w:t>
      </w:r>
      <w:r w:rsidR="00073A57">
        <w:rPr>
          <w:szCs w:val="22"/>
        </w:rPr>
        <w:t xml:space="preserve">brought about by a tidal barrage </w:t>
      </w:r>
      <w:r>
        <w:rPr>
          <w:szCs w:val="22"/>
        </w:rPr>
        <w:t>could also bring benefits to those enjoying the view of the estuary, as individuals may prefer to see water as opposed to mudflat, although the physical structure of the barrage itself may reduce the aesthetic appeal of the estuary</w:t>
      </w:r>
      <w:r w:rsidR="00DD19C6">
        <w:rPr>
          <w:szCs w:val="22"/>
        </w:rPr>
        <w:t xml:space="preserve">. </w:t>
      </w:r>
      <w:r>
        <w:rPr>
          <w:szCs w:val="22"/>
        </w:rPr>
        <w:t xml:space="preserve">Noise levels in the proximity of the barrage </w:t>
      </w:r>
      <w:r w:rsidR="007506EA">
        <w:rPr>
          <w:szCs w:val="22"/>
        </w:rPr>
        <w:t xml:space="preserve">would </w:t>
      </w:r>
      <w:r>
        <w:rPr>
          <w:szCs w:val="22"/>
        </w:rPr>
        <w:t>also increase</w:t>
      </w:r>
      <w:r w:rsidR="00DD19C6">
        <w:rPr>
          <w:szCs w:val="22"/>
        </w:rPr>
        <w:t xml:space="preserve">. </w:t>
      </w:r>
      <w:r>
        <w:rPr>
          <w:szCs w:val="22"/>
        </w:rPr>
        <w:t xml:space="preserve">A barrage </w:t>
      </w:r>
      <w:r w:rsidR="007506EA">
        <w:rPr>
          <w:szCs w:val="22"/>
        </w:rPr>
        <w:t xml:space="preserve">might </w:t>
      </w:r>
      <w:r>
        <w:rPr>
          <w:szCs w:val="22"/>
        </w:rPr>
        <w:t xml:space="preserve">also negatively </w:t>
      </w:r>
      <w:r>
        <w:rPr>
          <w:szCs w:val="22"/>
        </w:rPr>
        <w:lastRenderedPageBreak/>
        <w:t>affect wellbeing</w:t>
      </w:r>
      <w:r w:rsidR="00642693">
        <w:rPr>
          <w:szCs w:val="22"/>
        </w:rPr>
        <w:t xml:space="preserve"> and opportunities for nature watching through the loss of intertidal area and the subsequent effects on, in particular, w</w:t>
      </w:r>
      <w:r>
        <w:rPr>
          <w:szCs w:val="22"/>
        </w:rPr>
        <w:t>ildfowl and waders</w:t>
      </w:r>
      <w:r w:rsidR="00DD19C6">
        <w:rPr>
          <w:szCs w:val="22"/>
        </w:rPr>
        <w:t xml:space="preserve">. </w:t>
      </w:r>
      <w:r>
        <w:rPr>
          <w:szCs w:val="22"/>
        </w:rPr>
        <w:t xml:space="preserve">The reduction in mudflat area </w:t>
      </w:r>
      <w:r w:rsidR="007506EA">
        <w:rPr>
          <w:szCs w:val="22"/>
        </w:rPr>
        <w:t xml:space="preserve">would </w:t>
      </w:r>
      <w:r>
        <w:rPr>
          <w:szCs w:val="22"/>
        </w:rPr>
        <w:t>likely be one of the most significant impacts of a tidal barrage</w:t>
      </w:r>
      <w:r w:rsidR="00642693">
        <w:rPr>
          <w:szCs w:val="22"/>
        </w:rPr>
        <w:t>, but substantial</w:t>
      </w:r>
      <w:r>
        <w:rPr>
          <w:szCs w:val="22"/>
        </w:rPr>
        <w:t xml:space="preserve"> benefits could accrue</w:t>
      </w:r>
      <w:r w:rsidR="00642693">
        <w:rPr>
          <w:szCs w:val="22"/>
        </w:rPr>
        <w:t xml:space="preserve"> in other areas</w:t>
      </w:r>
      <w:r w:rsidR="00DD19C6">
        <w:rPr>
          <w:szCs w:val="22"/>
        </w:rPr>
        <w:t xml:space="preserve">. </w:t>
      </w:r>
      <w:r w:rsidR="00642693">
        <w:rPr>
          <w:szCs w:val="22"/>
        </w:rPr>
        <w:t xml:space="preserve">In particular, </w:t>
      </w:r>
      <w:r>
        <w:rPr>
          <w:szCs w:val="22"/>
        </w:rPr>
        <w:t>a barrage</w:t>
      </w:r>
      <w:r w:rsidR="00A75C50">
        <w:rPr>
          <w:szCs w:val="22"/>
        </w:rPr>
        <w:t xml:space="preserve"> </w:t>
      </w:r>
      <w:r w:rsidR="007506EA">
        <w:rPr>
          <w:szCs w:val="22"/>
        </w:rPr>
        <w:t xml:space="preserve">would </w:t>
      </w:r>
      <w:r w:rsidR="00A75C50">
        <w:rPr>
          <w:szCs w:val="22"/>
        </w:rPr>
        <w:t>present a significant</w:t>
      </w:r>
      <w:r w:rsidR="00642693">
        <w:rPr>
          <w:szCs w:val="22"/>
        </w:rPr>
        <w:t xml:space="preserve"> </w:t>
      </w:r>
      <w:r>
        <w:rPr>
          <w:szCs w:val="22"/>
        </w:rPr>
        <w:t>research and education opportunity</w:t>
      </w:r>
      <w:r w:rsidR="00642693">
        <w:rPr>
          <w:szCs w:val="22"/>
        </w:rPr>
        <w:t xml:space="preserve">, and valuable </w:t>
      </w:r>
      <w:r>
        <w:rPr>
          <w:szCs w:val="22"/>
        </w:rPr>
        <w:t xml:space="preserve">flood protection </w:t>
      </w:r>
      <w:r w:rsidR="00642693">
        <w:rPr>
          <w:szCs w:val="22"/>
        </w:rPr>
        <w:t>co</w:t>
      </w:r>
      <w:r>
        <w:rPr>
          <w:szCs w:val="22"/>
        </w:rPr>
        <w:t>uld be provided for buildings and infrastructure upstream.</w:t>
      </w:r>
    </w:p>
    <w:p w:rsidR="00217FC4" w:rsidRDefault="00217FC4" w:rsidP="00CF681C">
      <w:pPr>
        <w:spacing w:line="360" w:lineRule="auto"/>
        <w:jc w:val="left"/>
      </w:pPr>
    </w:p>
    <w:p w:rsidR="007D4DEB" w:rsidRDefault="007D4DEB" w:rsidP="00CF681C">
      <w:pPr>
        <w:spacing w:line="360" w:lineRule="auto"/>
        <w:jc w:val="left"/>
      </w:pPr>
      <w:r>
        <w:t>[Table 3]</w:t>
      </w:r>
    </w:p>
    <w:p w:rsidR="007D4DEB" w:rsidRDefault="007D4DEB" w:rsidP="00CF681C">
      <w:pPr>
        <w:spacing w:line="360" w:lineRule="auto"/>
        <w:jc w:val="left"/>
      </w:pPr>
    </w:p>
    <w:p w:rsidR="0018487A" w:rsidRPr="00F3005F" w:rsidRDefault="00F3005F" w:rsidP="00CF681C">
      <w:pPr>
        <w:spacing w:line="360" w:lineRule="auto"/>
        <w:jc w:val="left"/>
        <w:rPr>
          <w:b/>
        </w:rPr>
      </w:pPr>
      <w:r>
        <w:rPr>
          <w:b/>
        </w:rPr>
        <w:t xml:space="preserve">5. </w:t>
      </w:r>
      <w:r w:rsidR="0018487A" w:rsidRPr="00F3005F">
        <w:rPr>
          <w:b/>
        </w:rPr>
        <w:t>Discussion</w:t>
      </w:r>
    </w:p>
    <w:p w:rsidR="0018487A" w:rsidRDefault="0018487A" w:rsidP="00CF681C">
      <w:pPr>
        <w:spacing w:line="360" w:lineRule="auto"/>
        <w:jc w:val="left"/>
      </w:pPr>
      <w:r>
        <w:t>The</w:t>
      </w:r>
      <w:r w:rsidR="00E63FC1">
        <w:t xml:space="preserve"> basis of the EBA is the </w:t>
      </w:r>
      <w:r w:rsidR="006B56BB">
        <w:t>inventory of e</w:t>
      </w:r>
      <w:r w:rsidR="00D86B06">
        <w:t xml:space="preserve">nvironmental </w:t>
      </w:r>
      <w:r w:rsidR="006B56BB">
        <w:t>b</w:t>
      </w:r>
      <w:r w:rsidR="00D86B06">
        <w:t>enefits</w:t>
      </w:r>
      <w:r w:rsidR="000E360F">
        <w:t xml:space="preserve"> </w:t>
      </w:r>
      <w:r w:rsidR="00E63FC1">
        <w:t xml:space="preserve">provided by the site.  The framework proposed for compiling this inventory </w:t>
      </w:r>
      <w:r w:rsidR="000E360F">
        <w:t>(</w:t>
      </w:r>
      <w:r w:rsidR="00B45536">
        <w:t>Table 1</w:t>
      </w:r>
      <w:r w:rsidR="000E360F">
        <w:t>)</w:t>
      </w:r>
      <w:r>
        <w:t xml:space="preserve"> attempts to facilitate any ultimate </w:t>
      </w:r>
      <w:r w:rsidR="00090451">
        <w:t xml:space="preserve">monetary </w:t>
      </w:r>
      <w:r>
        <w:t xml:space="preserve">valuation, but its </w:t>
      </w:r>
      <w:r w:rsidRPr="00403736">
        <w:t xml:space="preserve">purpose </w:t>
      </w:r>
      <w:r>
        <w:t>remains the coherent classification of</w:t>
      </w:r>
      <w:r w:rsidRPr="00403736">
        <w:t xml:space="preserve"> benefits, not</w:t>
      </w:r>
      <w:r>
        <w:t xml:space="preserve"> the resolution of </w:t>
      </w:r>
      <w:r w:rsidRPr="00403736">
        <w:t>all potential issue</w:t>
      </w:r>
      <w:r>
        <w:t>s</w:t>
      </w:r>
      <w:r w:rsidRPr="00403736">
        <w:t xml:space="preserve"> that may arise at the valuation stage</w:t>
      </w:r>
      <w:r w:rsidR="00DD19C6">
        <w:t xml:space="preserve">. </w:t>
      </w:r>
      <w:r>
        <w:t xml:space="preserve">One such issue is the valuation of </w:t>
      </w:r>
      <w:r w:rsidRPr="00403736">
        <w:t xml:space="preserve">multiple benefits </w:t>
      </w:r>
      <w:r>
        <w:t>that are provided by the same service</w:t>
      </w:r>
      <w:r w:rsidR="00DD19C6">
        <w:t xml:space="preserve">. </w:t>
      </w:r>
      <w:r w:rsidRPr="00403736">
        <w:t>For example</w:t>
      </w:r>
      <w:r>
        <w:t>,</w:t>
      </w:r>
      <w:r w:rsidRPr="00403736">
        <w:t xml:space="preserve"> </w:t>
      </w:r>
      <w:r w:rsidR="00117CEC">
        <w:t xml:space="preserve">angling provides benefits from enjoyment of the activity, while any retained catch also provides food, </w:t>
      </w:r>
      <w:r w:rsidR="00265032">
        <w:t>and</w:t>
      </w:r>
      <w:r>
        <w:t xml:space="preserve"> it may be difficult to disentangle the recreational</w:t>
      </w:r>
      <w:r w:rsidR="00117CEC">
        <w:t xml:space="preserve"> and </w:t>
      </w:r>
      <w:r>
        <w:t>psychological benefits and the non-use values associated with regular walks along a coastal footpath</w:t>
      </w:r>
      <w:r w:rsidR="00DD19C6">
        <w:t xml:space="preserve">. </w:t>
      </w:r>
      <w:r>
        <w:t>However, it is acceptable to assess (and ultimately value) these divergent benefits separately, providing they are distinct (</w:t>
      </w:r>
      <w:r w:rsidRPr="005E62CD">
        <w:t>Fisher and Turner, 2008)</w:t>
      </w:r>
      <w:r>
        <w:t xml:space="preserve">, </w:t>
      </w:r>
      <w:r w:rsidR="006B56BB">
        <w:t>and so the</w:t>
      </w:r>
      <w:r>
        <w:t xml:space="preserve"> comprehensive classification </w:t>
      </w:r>
      <w:r w:rsidR="006B56BB">
        <w:t xml:space="preserve">suggested in the </w:t>
      </w:r>
      <w:r>
        <w:t xml:space="preserve">framework </w:t>
      </w:r>
      <w:r w:rsidR="006B56BB">
        <w:t>achieves its purpose of facilitating valuation</w:t>
      </w:r>
      <w:r>
        <w:t>.</w:t>
      </w:r>
    </w:p>
    <w:p w:rsidR="0018487A" w:rsidRPr="00726121" w:rsidRDefault="0018487A" w:rsidP="00CF681C">
      <w:pPr>
        <w:spacing w:line="360" w:lineRule="auto"/>
        <w:jc w:val="left"/>
      </w:pPr>
    </w:p>
    <w:p w:rsidR="0053479D" w:rsidRPr="00DB38BC" w:rsidRDefault="008216E9" w:rsidP="00CF681C">
      <w:pPr>
        <w:spacing w:line="360" w:lineRule="auto"/>
        <w:jc w:val="left"/>
        <w:rPr>
          <w:szCs w:val="22"/>
        </w:rPr>
      </w:pPr>
      <w:r>
        <w:t xml:space="preserve">The </w:t>
      </w:r>
      <w:r w:rsidR="00C5727D">
        <w:t>empirical EBA</w:t>
      </w:r>
      <w:r w:rsidR="00726121">
        <w:t xml:space="preserve"> carried out for a hypothetical tidal barrage in the Taw Torridge</w:t>
      </w:r>
      <w:r w:rsidR="006B56BB">
        <w:t xml:space="preserve"> demonstrated</w:t>
      </w:r>
      <w:r w:rsidR="00D66D68">
        <w:t xml:space="preserve"> that the proposed </w:t>
      </w:r>
      <w:r w:rsidR="006B56BB">
        <w:t>methodology</w:t>
      </w:r>
      <w:r w:rsidR="00F1364E">
        <w:t xml:space="preserve"> can be successfully employed</w:t>
      </w:r>
      <w:r w:rsidR="00726121">
        <w:t xml:space="preserve"> </w:t>
      </w:r>
      <w:r w:rsidR="00F1364E">
        <w:t>as a tool for evaluating the changes likely to result from local scale developments</w:t>
      </w:r>
      <w:r w:rsidR="00DD19C6">
        <w:t xml:space="preserve">. </w:t>
      </w:r>
      <w:r w:rsidR="006630B3">
        <w:t>There are, however, some limitations to its application, both in this specific case and more generally</w:t>
      </w:r>
      <w:r w:rsidR="00DD19C6">
        <w:t xml:space="preserve">. </w:t>
      </w:r>
      <w:r w:rsidR="006630B3">
        <w:t xml:space="preserve">In the case study, there </w:t>
      </w:r>
      <w:r w:rsidR="006B56BB">
        <w:t>are several gaps in the data, and</w:t>
      </w:r>
      <w:r w:rsidR="006630B3">
        <w:t xml:space="preserve"> poor confidence in the accuracy of </w:t>
      </w:r>
      <w:r w:rsidR="006B56BB">
        <w:t xml:space="preserve">much of </w:t>
      </w:r>
      <w:r w:rsidR="006630B3">
        <w:t>the data that was available</w:t>
      </w:r>
      <w:r w:rsidR="00DD19C6">
        <w:t xml:space="preserve">. </w:t>
      </w:r>
      <w:r w:rsidR="00DB38BC">
        <w:t>For example, it was not possible to identify all fishers or shellfish harvesters</w:t>
      </w:r>
      <w:r w:rsidR="00763EF3">
        <w:t xml:space="preserve">; </w:t>
      </w:r>
      <w:r w:rsidR="00DB38BC">
        <w:t>other fisher data was more than three years old</w:t>
      </w:r>
      <w:r w:rsidR="00763EF3">
        <w:t xml:space="preserve">; </w:t>
      </w:r>
      <w:r w:rsidR="00DB38BC">
        <w:t xml:space="preserve">or </w:t>
      </w:r>
      <w:r w:rsidR="00DB38BC" w:rsidRPr="00DB38BC">
        <w:rPr>
          <w:szCs w:val="22"/>
        </w:rPr>
        <w:t xml:space="preserve">aggregated at too large a spatial scale (ICES rectangle level) to attribute benefits derived </w:t>
      </w:r>
      <w:r w:rsidR="00763EF3">
        <w:rPr>
          <w:szCs w:val="22"/>
        </w:rPr>
        <w:t xml:space="preserve">locally </w:t>
      </w:r>
      <w:r w:rsidR="00DB38BC" w:rsidRPr="00DB38BC">
        <w:rPr>
          <w:szCs w:val="22"/>
        </w:rPr>
        <w:t>from the estuary</w:t>
      </w:r>
      <w:r w:rsidR="00763EF3">
        <w:rPr>
          <w:szCs w:val="22"/>
        </w:rPr>
        <w:t xml:space="preserve">; </w:t>
      </w:r>
      <w:r w:rsidR="00AB0AF5">
        <w:rPr>
          <w:szCs w:val="22"/>
        </w:rPr>
        <w:t>and recreational use was underestimated, particularly in terms of visitor numbers.</w:t>
      </w:r>
    </w:p>
    <w:p w:rsidR="0053479D" w:rsidRDefault="0053479D" w:rsidP="00CF681C">
      <w:pPr>
        <w:spacing w:line="360" w:lineRule="auto"/>
        <w:jc w:val="left"/>
      </w:pPr>
    </w:p>
    <w:p w:rsidR="00513DD1" w:rsidRDefault="006630B3" w:rsidP="00CF681C">
      <w:pPr>
        <w:spacing w:line="360" w:lineRule="auto"/>
        <w:jc w:val="left"/>
      </w:pPr>
      <w:r>
        <w:t>This is partly as a result of the desk-based nature of the case study</w:t>
      </w:r>
      <w:r w:rsidR="006B56BB">
        <w:t xml:space="preserve">: </w:t>
      </w:r>
      <w:r>
        <w:t>further empirical research</w:t>
      </w:r>
      <w:r w:rsidR="00513DD1">
        <w:t xml:space="preserve"> would provide additional </w:t>
      </w:r>
      <w:r w:rsidR="00C73AB6">
        <w:t>information, and the preliminary steps in the EBA serve as a gap analysis to identify required data</w:t>
      </w:r>
      <w:r w:rsidR="00DD19C6">
        <w:t xml:space="preserve">. </w:t>
      </w:r>
      <w:r w:rsidR="00513DD1">
        <w:t>I</w:t>
      </w:r>
      <w:r w:rsidR="00513DD1" w:rsidRPr="00513DD1">
        <w:t xml:space="preserve">f </w:t>
      </w:r>
      <w:r w:rsidR="00513DD1">
        <w:t xml:space="preserve">an </w:t>
      </w:r>
      <w:r w:rsidR="00513DD1" w:rsidRPr="00513DD1">
        <w:t>EBA is to be comprehensive and accurate</w:t>
      </w:r>
      <w:r w:rsidR="00513DD1">
        <w:t>, it will be necessary</w:t>
      </w:r>
      <w:r w:rsidR="00513DD1" w:rsidRPr="00513DD1">
        <w:t xml:space="preserve"> to identify</w:t>
      </w:r>
      <w:r w:rsidR="00091A5A">
        <w:t xml:space="preserve"> all groups of beneficiaries</w:t>
      </w:r>
      <w:r w:rsidR="00513DD1" w:rsidRPr="00513DD1">
        <w:t xml:space="preserve"> and obtain information</w:t>
      </w:r>
      <w:r w:rsidR="00091A5A">
        <w:t xml:space="preserve"> that is sufficiently representative of their activities</w:t>
      </w:r>
      <w:r w:rsidR="00DD19C6">
        <w:t xml:space="preserve">. </w:t>
      </w:r>
      <w:r w:rsidR="00091A5A">
        <w:t>This will remain problematic where there are many small-scale users whose activities are not routinely recorded</w:t>
      </w:r>
      <w:r w:rsidR="009E6F67">
        <w:t xml:space="preserve"> and will require </w:t>
      </w:r>
      <w:r w:rsidR="00091A5A">
        <w:t xml:space="preserve">comprehensive surveys for example </w:t>
      </w:r>
      <w:r w:rsidR="009E6F67">
        <w:t xml:space="preserve">for </w:t>
      </w:r>
      <w:r w:rsidR="00091A5A">
        <w:t>recreational users and small-scale fishers</w:t>
      </w:r>
      <w:r w:rsidR="00DD19C6">
        <w:t xml:space="preserve">. </w:t>
      </w:r>
      <w:r w:rsidR="00091A5A">
        <w:t xml:space="preserve">The likely variation in data accuracy </w:t>
      </w:r>
      <w:r w:rsidR="00177B0F">
        <w:t xml:space="preserve">and availability </w:t>
      </w:r>
      <w:r w:rsidR="00091A5A">
        <w:t xml:space="preserve">(even where comprehensive </w:t>
      </w:r>
      <w:r w:rsidR="00091A5A">
        <w:lastRenderedPageBreak/>
        <w:t xml:space="preserve">empirical </w:t>
      </w:r>
      <w:r w:rsidR="00C73AB6">
        <w:t>information is</w:t>
      </w:r>
      <w:r w:rsidR="009E6F67">
        <w:t xml:space="preserve"> available</w:t>
      </w:r>
      <w:r w:rsidR="00091A5A">
        <w:t xml:space="preserve">) </w:t>
      </w:r>
      <w:r w:rsidR="00513DD1">
        <w:t>illustrates the importance of presenting a confidence assessment with the data</w:t>
      </w:r>
      <w:r w:rsidR="00091A5A">
        <w:t xml:space="preserve">, </w:t>
      </w:r>
      <w:r w:rsidR="00513DD1">
        <w:t>so that</w:t>
      </w:r>
      <w:r w:rsidR="00091A5A">
        <w:t xml:space="preserve"> it can be appropriately </w:t>
      </w:r>
      <w:r w:rsidR="00513DD1">
        <w:t>weight</w:t>
      </w:r>
      <w:r w:rsidR="00091A5A">
        <w:t xml:space="preserve">ed during the </w:t>
      </w:r>
      <w:r w:rsidR="00513DD1">
        <w:t>decision</w:t>
      </w:r>
      <w:r w:rsidR="00091A5A">
        <w:t>-making</w:t>
      </w:r>
      <w:r w:rsidR="00513DD1">
        <w:t xml:space="preserve"> process</w:t>
      </w:r>
      <w:r w:rsidR="00091A5A">
        <w:t>.</w:t>
      </w:r>
    </w:p>
    <w:p w:rsidR="007A532D" w:rsidRDefault="007A532D" w:rsidP="00CF681C">
      <w:pPr>
        <w:spacing w:line="360" w:lineRule="auto"/>
        <w:jc w:val="left"/>
      </w:pPr>
    </w:p>
    <w:p w:rsidR="00AC2BF3" w:rsidRDefault="000B2DC8" w:rsidP="00CF681C">
      <w:pPr>
        <w:spacing w:line="360" w:lineRule="auto"/>
        <w:jc w:val="left"/>
      </w:pPr>
      <w:r>
        <w:t xml:space="preserve">There are more systemic </w:t>
      </w:r>
      <w:r w:rsidR="00B60347">
        <w:t>issue</w:t>
      </w:r>
      <w:r w:rsidR="006B56BB">
        <w:t>s with the methodology</w:t>
      </w:r>
      <w:r w:rsidR="00B60347">
        <w:t xml:space="preserve">, particularly concerning </w:t>
      </w:r>
      <w:r w:rsidR="00F54269">
        <w:t xml:space="preserve">quantification of </w:t>
      </w:r>
      <w:r w:rsidR="00B60347">
        <w:t>some of the cultural benefits</w:t>
      </w:r>
      <w:r w:rsidR="00DD19C6">
        <w:t xml:space="preserve">. </w:t>
      </w:r>
      <w:r w:rsidR="00CF4B31">
        <w:t>Williamson’s novel</w:t>
      </w:r>
      <w:r w:rsidR="00265032">
        <w:t xml:space="preserve"> and other </w:t>
      </w:r>
      <w:r w:rsidR="00C73AB6">
        <w:t>art</w:t>
      </w:r>
      <w:r w:rsidR="00CF4B31">
        <w:t>works and events attest that t</w:t>
      </w:r>
      <w:r w:rsidR="00F54269">
        <w:t xml:space="preserve">he Taw Torridge is a source of inspiration, </w:t>
      </w:r>
      <w:r w:rsidR="00CF4B31">
        <w:t>but</w:t>
      </w:r>
      <w:r w:rsidR="00F54269">
        <w:t xml:space="preserve"> there is no obvious </w:t>
      </w:r>
      <w:r w:rsidR="00B02384">
        <w:t xml:space="preserve">means by which to quantify </w:t>
      </w:r>
      <w:r w:rsidR="00CC77FD">
        <w:t>this</w:t>
      </w:r>
      <w:r w:rsidR="00B02384">
        <w:t xml:space="preserve"> in the same way as, for example, fish catches or number of recreational users</w:t>
      </w:r>
      <w:r w:rsidR="00DD19C6">
        <w:t xml:space="preserve">. </w:t>
      </w:r>
      <w:r w:rsidR="00AC2BF3">
        <w:t>Quantifying</w:t>
      </w:r>
      <w:r w:rsidR="002F5729">
        <w:t xml:space="preserve"> the</w:t>
      </w:r>
      <w:r w:rsidR="00AC2BF3">
        <w:t xml:space="preserve"> likely change in inspiration as a result of an intervention </w:t>
      </w:r>
      <w:r w:rsidR="0053479D">
        <w:t>is</w:t>
      </w:r>
      <w:r w:rsidR="00AC2BF3">
        <w:t xml:space="preserve"> also problematic</w:t>
      </w:r>
      <w:r w:rsidR="00DD19C6">
        <w:t xml:space="preserve">. </w:t>
      </w:r>
      <w:r w:rsidR="004B2D71">
        <w:t xml:space="preserve">Even a development as substantial as a tidal barrage is unlikely to destroy </w:t>
      </w:r>
      <w:r w:rsidR="00AC2BF3">
        <w:t xml:space="preserve">the </w:t>
      </w:r>
      <w:r w:rsidR="004B2D71">
        <w:t xml:space="preserve">character of </w:t>
      </w:r>
      <w:r w:rsidR="00AC2BF3">
        <w:t xml:space="preserve">the </w:t>
      </w:r>
      <w:r w:rsidR="004B2D71">
        <w:t>entire estuary</w:t>
      </w:r>
      <w:r w:rsidR="00AC2BF3">
        <w:t xml:space="preserve">, </w:t>
      </w:r>
      <w:r w:rsidR="00F54269">
        <w:t>and the development itself may provide</w:t>
      </w:r>
      <w:r w:rsidR="00AC2BF3">
        <w:t xml:space="preserve"> a new source of</w:t>
      </w:r>
      <w:r w:rsidR="00F54269">
        <w:t xml:space="preserve"> inspiration</w:t>
      </w:r>
      <w:r w:rsidR="00DD19C6">
        <w:t xml:space="preserve">. </w:t>
      </w:r>
      <w:r w:rsidR="008A138E">
        <w:t>The ambience</w:t>
      </w:r>
      <w:r w:rsidR="00B02384">
        <w:t xml:space="preserve"> (including the visual amenity and </w:t>
      </w:r>
      <w:r w:rsidR="00BB74EA">
        <w:t>tranquillity</w:t>
      </w:r>
      <w:r w:rsidR="00B02384">
        <w:t>)</w:t>
      </w:r>
      <w:r w:rsidR="008A138E">
        <w:t xml:space="preserve"> of an area is similarly difficult to </w:t>
      </w:r>
      <w:r w:rsidR="00B02384">
        <w:t xml:space="preserve">define and </w:t>
      </w:r>
      <w:r w:rsidR="008A138E">
        <w:t>quantify, as is c</w:t>
      </w:r>
      <w:r w:rsidR="00AC2BF3">
        <w:t>ultural heritage, especially where the traditional industries or activities on which this heritage is based no longer occur</w:t>
      </w:r>
      <w:r w:rsidR="002F5729">
        <w:t xml:space="preserve"> and so will not be directly impacted by any modern development.</w:t>
      </w:r>
    </w:p>
    <w:p w:rsidR="00D66D68" w:rsidRPr="00D66D68" w:rsidRDefault="00D66D68" w:rsidP="00CF681C">
      <w:pPr>
        <w:spacing w:line="360" w:lineRule="auto"/>
        <w:jc w:val="left"/>
      </w:pPr>
    </w:p>
    <w:p w:rsidR="006313AB" w:rsidRDefault="00AC2BF3" w:rsidP="00CF681C">
      <w:pPr>
        <w:spacing w:line="360" w:lineRule="auto"/>
        <w:jc w:val="left"/>
      </w:pPr>
      <w:r>
        <w:t>The</w:t>
      </w:r>
      <w:r w:rsidR="0060073D">
        <w:t xml:space="preserve">se </w:t>
      </w:r>
      <w:r w:rsidR="00FC2A35">
        <w:t xml:space="preserve">practical </w:t>
      </w:r>
      <w:r w:rsidR="0060073D">
        <w:t xml:space="preserve">difficulties suggest that </w:t>
      </w:r>
      <w:r w:rsidR="00B02384">
        <w:t>it is unlikely to be possible to include in</w:t>
      </w:r>
      <w:r w:rsidR="00FC2A35">
        <w:t>spiration</w:t>
      </w:r>
      <w:r w:rsidR="008A138E">
        <w:t>, ambience</w:t>
      </w:r>
      <w:r w:rsidR="00FC2A35">
        <w:t xml:space="preserve"> </w:t>
      </w:r>
      <w:r w:rsidR="00B02384">
        <w:t xml:space="preserve">and cultural heritage </w:t>
      </w:r>
      <w:r w:rsidR="00D61632">
        <w:t>a</w:t>
      </w:r>
      <w:r w:rsidR="00B02384">
        <w:t>s specific individual benefits within</w:t>
      </w:r>
      <w:r w:rsidR="00FC2A35">
        <w:t xml:space="preserve"> a</w:t>
      </w:r>
      <w:r w:rsidR="00D61632">
        <w:t>n objective,</w:t>
      </w:r>
      <w:r w:rsidR="00B02384">
        <w:t xml:space="preserve"> quantitative EBA</w:t>
      </w:r>
      <w:r w:rsidR="00DD19C6">
        <w:t xml:space="preserve">. </w:t>
      </w:r>
      <w:r w:rsidR="0060073D">
        <w:t xml:space="preserve">However, </w:t>
      </w:r>
      <w:r w:rsidR="00177B0F">
        <w:t xml:space="preserve">it is important </w:t>
      </w:r>
      <w:r w:rsidR="00B02384">
        <w:t xml:space="preserve"> that </w:t>
      </w:r>
      <w:r w:rsidR="008A138E">
        <w:t xml:space="preserve">they </w:t>
      </w:r>
      <w:r w:rsidR="00B02384">
        <w:t>should</w:t>
      </w:r>
      <w:r w:rsidR="00177B0F">
        <w:t xml:space="preserve"> not</w:t>
      </w:r>
      <w:r w:rsidR="00B02384">
        <w:t xml:space="preserve"> </w:t>
      </w:r>
      <w:r w:rsidR="0060073D">
        <w:t>be excluded from environmental benefits inventories</w:t>
      </w:r>
      <w:r w:rsidR="00DD19C6">
        <w:t xml:space="preserve">. </w:t>
      </w:r>
      <w:r w:rsidR="00B02384">
        <w:t>T</w:t>
      </w:r>
      <w:r w:rsidR="0060073D">
        <w:t xml:space="preserve">hey remain important </w:t>
      </w:r>
      <w:r w:rsidR="00B02384">
        <w:t xml:space="preserve">components of the </w:t>
      </w:r>
      <w:r w:rsidR="0060073D">
        <w:t>large and diverse range of benefit</w:t>
      </w:r>
      <w:r w:rsidR="0080755E">
        <w:t>s</w:t>
      </w:r>
      <w:r w:rsidR="0060073D">
        <w:t xml:space="preserve"> provided by </w:t>
      </w:r>
      <w:r w:rsidR="00B02384">
        <w:t xml:space="preserve">the natural </w:t>
      </w:r>
      <w:r w:rsidR="0060073D">
        <w:t>environment</w:t>
      </w:r>
      <w:r w:rsidR="009B6947">
        <w:t xml:space="preserve"> and, w</w:t>
      </w:r>
      <w:r w:rsidR="00F97DD8">
        <w:t xml:space="preserve">hile objective quantification of the level of delivery of these benefits is problematic, </w:t>
      </w:r>
      <w:r w:rsidR="002D31B5">
        <w:t>there are appropriate</w:t>
      </w:r>
      <w:r w:rsidR="009B6947">
        <w:t xml:space="preserve"> (often narrative-based)</w:t>
      </w:r>
      <w:r w:rsidR="002D31B5">
        <w:t xml:space="preserve"> methods within </w:t>
      </w:r>
      <w:r w:rsidR="009B6947">
        <w:t xml:space="preserve">other </w:t>
      </w:r>
      <w:r w:rsidR="002D31B5">
        <w:t xml:space="preserve">social science disciplines to </w:t>
      </w:r>
      <w:r w:rsidR="009B6947">
        <w:t>capture the strength and foundation of cultural values</w:t>
      </w:r>
      <w:r w:rsidR="00DD19C6">
        <w:t xml:space="preserve">. </w:t>
      </w:r>
      <w:r w:rsidR="00F97DD8">
        <w:t xml:space="preserve">Conceptual frameworks for ecosystem service assessments already acknowledge the difficulties in making quantitative assessments of cultural benefits, and also that simply recognising that cultural value exist may be sufficient to generate policy responses </w:t>
      </w:r>
      <w:r w:rsidR="00DB418F">
        <w:t>(TEEB, 2010</w:t>
      </w:r>
      <w:r w:rsidR="00F97DD8">
        <w:t>; Daniel et al., 2012</w:t>
      </w:r>
      <w:r w:rsidR="00DB418F">
        <w:t>)</w:t>
      </w:r>
      <w:r w:rsidR="00DD19C6">
        <w:t xml:space="preserve">. </w:t>
      </w:r>
      <w:r w:rsidR="006313AB" w:rsidRPr="002B12F3">
        <w:t>However, at the core of the ecosystem services approach is the intention to improve quantification of the benefits people receive from nature so that social and environmental externalities can be better compared with manmade capital</w:t>
      </w:r>
      <w:r w:rsidR="00DD19C6">
        <w:t xml:space="preserve">. </w:t>
      </w:r>
      <w:r w:rsidR="006313AB" w:rsidRPr="002B12F3">
        <w:t>Reporting cultural services in only qualitative terms brings the risk that they will be overlooked, and so it is important that efforts continue to identify appropriate indicators and metrics for cultural services.</w:t>
      </w:r>
      <w:r w:rsidR="006313AB">
        <w:t xml:space="preserve"> </w:t>
      </w:r>
    </w:p>
    <w:p w:rsidR="00D61632" w:rsidRDefault="00D61632" w:rsidP="00CF681C">
      <w:pPr>
        <w:spacing w:line="360" w:lineRule="auto"/>
        <w:jc w:val="left"/>
      </w:pPr>
    </w:p>
    <w:p w:rsidR="00571859" w:rsidRDefault="0080755E" w:rsidP="00CF681C">
      <w:pPr>
        <w:spacing w:line="360" w:lineRule="auto"/>
        <w:jc w:val="left"/>
      </w:pPr>
      <w:r>
        <w:t>Application of the EBA also revealed</w:t>
      </w:r>
      <w:r w:rsidR="00756F88">
        <w:t xml:space="preserve"> </w:t>
      </w:r>
      <w:r w:rsidR="002F14A5">
        <w:t>a second major issue</w:t>
      </w:r>
      <w:r w:rsidR="00265032">
        <w:t>:</w:t>
      </w:r>
      <w:r w:rsidR="006313AB" w:rsidRPr="006313AB">
        <w:t xml:space="preserve"> </w:t>
      </w:r>
      <w:r w:rsidR="006313AB" w:rsidRPr="002B12F3">
        <w:t>attributing aggregate benefits to a local source</w:t>
      </w:r>
      <w:r w:rsidR="00DD19C6">
        <w:t xml:space="preserve">. </w:t>
      </w:r>
      <w:r w:rsidR="00571859">
        <w:t>With shellfish harvesting, the ecosystem service is provided within the estuary, and the benefit is realised there, so the quantification of benefit delivery and potential impact from the development is relatively straightforward</w:t>
      </w:r>
      <w:r w:rsidR="00DD19C6">
        <w:t xml:space="preserve">. </w:t>
      </w:r>
      <w:r w:rsidR="00571859">
        <w:t>The situation is more complicated for capture fisheries</w:t>
      </w:r>
      <w:r w:rsidR="00DD19C6">
        <w:t xml:space="preserve">. </w:t>
      </w:r>
      <w:r w:rsidR="004B57CA">
        <w:t>Landings at</w:t>
      </w:r>
      <w:r w:rsidR="00571859">
        <w:t xml:space="preserve"> ports within the estuary</w:t>
      </w:r>
      <w:r w:rsidR="004B57CA">
        <w:t xml:space="preserve"> are recorded, but these do not all originate from the local area, and even where they do</w:t>
      </w:r>
      <w:r w:rsidR="0053479D">
        <w:t>,</w:t>
      </w:r>
      <w:r w:rsidR="004B57CA">
        <w:t xml:space="preserve"> the </w:t>
      </w:r>
      <w:r w:rsidR="009563D0">
        <w:t xml:space="preserve">direct role of the estuary in fisheries production is </w:t>
      </w:r>
      <w:r>
        <w:t>difficult to readily quantify</w:t>
      </w:r>
      <w:r w:rsidR="009B0528">
        <w:t xml:space="preserve"> without complex modelling approaches</w:t>
      </w:r>
      <w:r w:rsidR="00DD19C6">
        <w:t>.</w:t>
      </w:r>
      <w:r w:rsidR="009B0528">
        <w:t xml:space="preserve">  </w:t>
      </w:r>
    </w:p>
    <w:p w:rsidR="004B2D71" w:rsidRDefault="004B2D71" w:rsidP="00CF681C">
      <w:pPr>
        <w:jc w:val="left"/>
        <w:rPr>
          <w:color w:val="1F497D"/>
        </w:rPr>
      </w:pPr>
    </w:p>
    <w:p w:rsidR="00A2301C" w:rsidRDefault="00D87BEF" w:rsidP="00CF681C">
      <w:pPr>
        <w:spacing w:line="360" w:lineRule="auto"/>
        <w:jc w:val="left"/>
      </w:pPr>
      <w:r w:rsidRPr="009563D0">
        <w:lastRenderedPageBreak/>
        <w:t xml:space="preserve">Scale is also an issue </w:t>
      </w:r>
      <w:r w:rsidR="009563D0" w:rsidRPr="009563D0">
        <w:t>when</w:t>
      </w:r>
      <w:r w:rsidRPr="009563D0">
        <w:t xml:space="preserve"> considering </w:t>
      </w:r>
      <w:r w:rsidR="009563D0" w:rsidRPr="009563D0">
        <w:t>the benefits from regulating services</w:t>
      </w:r>
      <w:r w:rsidR="00DD19C6">
        <w:t xml:space="preserve">. </w:t>
      </w:r>
      <w:r w:rsidR="009563D0" w:rsidRPr="009563D0">
        <w:t xml:space="preserve">The role of the local environment (in isolation) in providing these benefits is often negligible, and so the impact of </w:t>
      </w:r>
      <w:r w:rsidR="0080755E">
        <w:t xml:space="preserve">a local-scale </w:t>
      </w:r>
      <w:r w:rsidR="009563D0" w:rsidRPr="009563D0">
        <w:t xml:space="preserve">development </w:t>
      </w:r>
      <w:r w:rsidR="0080755E">
        <w:t>may</w:t>
      </w:r>
      <w:r w:rsidR="00E6175F">
        <w:t xml:space="preserve"> be</w:t>
      </w:r>
      <w:r w:rsidR="009563D0" w:rsidRPr="009563D0">
        <w:t xml:space="preserve"> effectively nil</w:t>
      </w:r>
      <w:r w:rsidR="00DD19C6">
        <w:t xml:space="preserve">. </w:t>
      </w:r>
      <w:r w:rsidR="00E6175F">
        <w:t>This is particularly relevant to c</w:t>
      </w:r>
      <w:r w:rsidR="009563D0" w:rsidRPr="009563D0">
        <w:t>limate and weather regulation</w:t>
      </w:r>
      <w:r w:rsidR="00E6175F">
        <w:t>,</w:t>
      </w:r>
      <w:r w:rsidR="009563D0" w:rsidRPr="009563D0">
        <w:t xml:space="preserve"> as it seems highly unlikely that</w:t>
      </w:r>
      <w:r w:rsidR="00A2301C">
        <w:t xml:space="preserve"> a development on the scale of a</w:t>
      </w:r>
      <w:r w:rsidR="009563D0" w:rsidRPr="009563D0">
        <w:t xml:space="preserve"> tidal barrage in the Taw Torridge will have any discernible effect on local weather patterns</w:t>
      </w:r>
      <w:r w:rsidR="00DD19C6">
        <w:t xml:space="preserve">. </w:t>
      </w:r>
      <w:r w:rsidR="00E6175F">
        <w:t xml:space="preserve">However, the effects of local developments </w:t>
      </w:r>
      <w:r w:rsidR="00FB7826">
        <w:t xml:space="preserve">accrue cumulatively </w:t>
      </w:r>
      <w:r w:rsidR="00E6175F">
        <w:t xml:space="preserve">at a national level </w:t>
      </w:r>
      <w:r w:rsidR="00FB7826">
        <w:t>and account must be taken of this</w:t>
      </w:r>
      <w:r w:rsidR="00DD19C6">
        <w:t xml:space="preserve">. </w:t>
      </w:r>
      <w:r w:rsidR="00A2301C">
        <w:t>This can be achieved by considering the service underlying the benefit (in this case carbon sequestration) which can be quantified at a local scale</w:t>
      </w:r>
      <w:r w:rsidR="00DD19C6">
        <w:t xml:space="preserve">. </w:t>
      </w:r>
      <w:r w:rsidR="00A2301C">
        <w:t>The relative impact of a particular development, and its contribution to the cumulative impacts of other interventions can therefore be determined.</w:t>
      </w:r>
    </w:p>
    <w:p w:rsidR="00884DA2" w:rsidRDefault="00884DA2" w:rsidP="00CF681C">
      <w:pPr>
        <w:spacing w:line="360" w:lineRule="auto"/>
        <w:jc w:val="left"/>
        <w:rPr>
          <w:lang w:eastAsia="en-GB"/>
        </w:rPr>
      </w:pPr>
    </w:p>
    <w:p w:rsidR="00B11BEC" w:rsidRDefault="007F0775" w:rsidP="00CF681C">
      <w:pPr>
        <w:spacing w:line="360" w:lineRule="auto"/>
        <w:jc w:val="left"/>
      </w:pPr>
      <w:r>
        <w:t>For the purposes of valuation it is justifiable, indeed desirable</w:t>
      </w:r>
      <w:r w:rsidR="007F219C">
        <w:t>,</w:t>
      </w:r>
      <w:r>
        <w:t xml:space="preserve"> to focus on the endpoints of the </w:t>
      </w:r>
      <w:r w:rsidR="007F219C">
        <w:t>ecosystem service cascade</w:t>
      </w:r>
      <w:r>
        <w:t xml:space="preserve"> (Fisher et al., 2008; Boyd and Banzhaf, 2007; Wallace, 2007)</w:t>
      </w:r>
      <w:r w:rsidR="00DD19C6">
        <w:t xml:space="preserve">. </w:t>
      </w:r>
      <w:r>
        <w:t xml:space="preserve">However, </w:t>
      </w:r>
      <w:r w:rsidR="007F219C">
        <w:t xml:space="preserve">failure to consider the underlying ecological processes restricts the application of an Environmental Benefits Assessment framework as a </w:t>
      </w:r>
      <w:r w:rsidR="00B11BEC">
        <w:t>broader resource management tool</w:t>
      </w:r>
      <w:r w:rsidR="00DD19C6">
        <w:t xml:space="preserve">. </w:t>
      </w:r>
      <w:r w:rsidR="00B11BEC">
        <w:t xml:space="preserve">In management, attempts are made to maintain or modify the delivery of </w:t>
      </w:r>
      <w:r>
        <w:t>benefit</w:t>
      </w:r>
      <w:r w:rsidR="00B11BEC">
        <w:t xml:space="preserve"> and so it is important to understand the implications of interventions at any stage in the </w:t>
      </w:r>
      <w:r>
        <w:t>benefit supply</w:t>
      </w:r>
      <w:r w:rsidR="00B11BEC">
        <w:t xml:space="preserve"> chain</w:t>
      </w:r>
      <w:r w:rsidR="00DD19C6">
        <w:t xml:space="preserve">. </w:t>
      </w:r>
      <w:r w:rsidR="007A3A13">
        <w:t>Also, by the time changes in the ecosystem are manifested as changes in environmental benefits it may be too late to mediate the impacts that have negatively affected processes at lower levels in the system</w:t>
      </w:r>
      <w:r w:rsidR="00DD19C6">
        <w:t xml:space="preserve">. </w:t>
      </w:r>
    </w:p>
    <w:p w:rsidR="007F219C" w:rsidRDefault="007F219C" w:rsidP="00CF681C">
      <w:pPr>
        <w:spacing w:line="360" w:lineRule="auto"/>
        <w:jc w:val="left"/>
        <w:rPr>
          <w:color w:val="1F497D"/>
        </w:rPr>
      </w:pPr>
    </w:p>
    <w:p w:rsidR="003E5D9C" w:rsidRDefault="00AC5D2F" w:rsidP="00CF681C">
      <w:pPr>
        <w:spacing w:line="360" w:lineRule="auto"/>
        <w:jc w:val="left"/>
      </w:pPr>
      <w:r w:rsidRPr="00AC5D2F">
        <w:t>Water quality is one example of the need to understand the level of service delivery in addition to the benefit</w:t>
      </w:r>
      <w:r w:rsidR="00DD19C6">
        <w:t xml:space="preserve">. </w:t>
      </w:r>
      <w:r w:rsidRPr="00AC5D2F">
        <w:t xml:space="preserve">The benefit of clean </w:t>
      </w:r>
      <w:r w:rsidR="00FD2338">
        <w:t xml:space="preserve">water for </w:t>
      </w:r>
      <w:r w:rsidRPr="00AC5D2F">
        <w:t xml:space="preserve">bathing or </w:t>
      </w:r>
      <w:r w:rsidR="00FD2338">
        <w:t>production</w:t>
      </w:r>
      <w:r w:rsidR="00FD2338" w:rsidRPr="00AC5D2F">
        <w:t xml:space="preserve"> </w:t>
      </w:r>
      <w:r w:rsidR="00FD2338">
        <w:t xml:space="preserve">of </w:t>
      </w:r>
      <w:r w:rsidRPr="00AC5D2F">
        <w:t>shellfish is provided if contaminants are below a certain threshold</w:t>
      </w:r>
      <w:r w:rsidR="00DD19C6">
        <w:t xml:space="preserve">. </w:t>
      </w:r>
      <w:r w:rsidRPr="00AC5D2F">
        <w:t>However, failure to also monitor the habitats responsible for pollutant sequestration could result in a sudden and unexpected decline in water quality, even where there has been no increase in contaminant input</w:t>
      </w:r>
      <w:r w:rsidR="00DD19C6">
        <w:t xml:space="preserve">. </w:t>
      </w:r>
      <w:r w:rsidR="00555772" w:rsidRPr="007A3A13">
        <w:t xml:space="preserve">The </w:t>
      </w:r>
      <w:r w:rsidR="00231495">
        <w:t>EBA methodology</w:t>
      </w:r>
      <w:r w:rsidR="00555772" w:rsidRPr="007A3A13">
        <w:t xml:space="preserve"> as presented does not preclude its expansion to </w:t>
      </w:r>
      <w:r w:rsidR="003E5D9C">
        <w:t>incorporate appropriate indicators</w:t>
      </w:r>
      <w:r w:rsidR="00555772" w:rsidRPr="007A3A13">
        <w:t xml:space="preserve"> of the underlying </w:t>
      </w:r>
      <w:r w:rsidR="007F219C" w:rsidRPr="007A3A13">
        <w:t xml:space="preserve">services that are required to maintain the </w:t>
      </w:r>
      <w:r w:rsidR="00272E11">
        <w:t xml:space="preserve">delivery of marine environmental </w:t>
      </w:r>
      <w:r w:rsidR="007F219C" w:rsidRPr="007A3A13">
        <w:t>benefits</w:t>
      </w:r>
      <w:r w:rsidR="003E5D9C">
        <w:t>.</w:t>
      </w:r>
    </w:p>
    <w:p w:rsidR="007D4DEB" w:rsidRDefault="007D4DEB" w:rsidP="00CF681C">
      <w:pPr>
        <w:spacing w:line="360" w:lineRule="auto"/>
        <w:jc w:val="left"/>
      </w:pPr>
    </w:p>
    <w:p w:rsidR="00F82CDA" w:rsidRDefault="002E43C5" w:rsidP="00CF681C">
      <w:pPr>
        <w:spacing w:line="360" w:lineRule="auto"/>
        <w:jc w:val="left"/>
      </w:pPr>
      <w:r>
        <w:t>The principal output of the EBA focuses on the benefits to people, which is in line with the anthropocentric approach of the ecosystem services concept.  As such, broader biodiversity conservation goals are only implicit, through their manifestation as cultural services and existence/bequest values.  Following through the anthropocentric argument of ecosystem services approaches, conservation goals should only be maintained if they provide a net benefit.  However, in reality, cultural services and existence/bequest values are problematic to quantify, suggesting that</w:t>
      </w:r>
      <w:r w:rsidR="002F7ED8">
        <w:t xml:space="preserve"> </w:t>
      </w:r>
      <w:r>
        <w:t xml:space="preserve">biodiversity will remain undervalued.  Also, national, regional and international legislation exists requiring the </w:t>
      </w:r>
      <w:r w:rsidR="002F7ED8">
        <w:t xml:space="preserve">conservation of biodiversity and the maintenance of good environmental status.  </w:t>
      </w:r>
      <w:r w:rsidR="00F82CDA">
        <w:t xml:space="preserve">Therefore, the impacts of any development will have to be considered in this context, linking back to </w:t>
      </w:r>
      <w:r w:rsidR="00F82CDA">
        <w:lastRenderedPageBreak/>
        <w:t>the statutory environmental protection and relevant environmental legislation identified during the initial characterisation of the site.</w:t>
      </w:r>
    </w:p>
    <w:p w:rsidR="00115EFD" w:rsidRDefault="00115EFD" w:rsidP="00F82CDA">
      <w:pPr>
        <w:spacing w:line="360" w:lineRule="auto"/>
        <w:jc w:val="left"/>
        <w:rPr>
          <w:color w:val="1F497D"/>
        </w:rPr>
      </w:pPr>
    </w:p>
    <w:p w:rsidR="00434BF7" w:rsidRPr="00F3005F" w:rsidRDefault="009D2CAD" w:rsidP="00CF681C">
      <w:pPr>
        <w:spacing w:line="360" w:lineRule="auto"/>
        <w:jc w:val="left"/>
        <w:rPr>
          <w:b/>
        </w:rPr>
      </w:pPr>
      <w:r>
        <w:rPr>
          <w:b/>
        </w:rPr>
        <w:t>6</w:t>
      </w:r>
      <w:r w:rsidR="00F3005F">
        <w:rPr>
          <w:b/>
        </w:rPr>
        <w:t xml:space="preserve">. </w:t>
      </w:r>
      <w:r w:rsidR="00B1459F" w:rsidRPr="00F3005F">
        <w:rPr>
          <w:b/>
        </w:rPr>
        <w:t>Conclusions</w:t>
      </w:r>
    </w:p>
    <w:p w:rsidR="00E43CB7" w:rsidRDefault="009E0044" w:rsidP="00CF681C">
      <w:pPr>
        <w:tabs>
          <w:tab w:val="left" w:pos="567"/>
        </w:tabs>
        <w:spacing w:line="360" w:lineRule="auto"/>
        <w:jc w:val="left"/>
        <w:rPr>
          <w:szCs w:val="22"/>
        </w:rPr>
      </w:pPr>
      <w:r>
        <w:rPr>
          <w:szCs w:val="22"/>
        </w:rPr>
        <w:t>The</w:t>
      </w:r>
      <w:r w:rsidR="00C70552">
        <w:rPr>
          <w:szCs w:val="22"/>
        </w:rPr>
        <w:t xml:space="preserve"> Environmental Benefits Assessment</w:t>
      </w:r>
      <w:r w:rsidR="0053479D">
        <w:rPr>
          <w:szCs w:val="22"/>
        </w:rPr>
        <w:t xml:space="preserve"> (EBA)</w:t>
      </w:r>
      <w:r>
        <w:rPr>
          <w:szCs w:val="22"/>
        </w:rPr>
        <w:t xml:space="preserve"> methodology</w:t>
      </w:r>
      <w:r w:rsidR="00C70552">
        <w:rPr>
          <w:szCs w:val="22"/>
        </w:rPr>
        <w:t xml:space="preserve"> proposed provides a </w:t>
      </w:r>
      <w:r w:rsidR="00C70552" w:rsidRPr="00E43CB7">
        <w:rPr>
          <w:szCs w:val="22"/>
        </w:rPr>
        <w:t xml:space="preserve">systematic approach to evaluating </w:t>
      </w:r>
      <w:r w:rsidR="00C70552">
        <w:rPr>
          <w:szCs w:val="22"/>
        </w:rPr>
        <w:t xml:space="preserve">the </w:t>
      </w:r>
      <w:r w:rsidR="00C70552" w:rsidRPr="00E43CB7">
        <w:rPr>
          <w:szCs w:val="22"/>
        </w:rPr>
        <w:t>impacts</w:t>
      </w:r>
      <w:r w:rsidR="00C70552">
        <w:rPr>
          <w:szCs w:val="22"/>
        </w:rPr>
        <w:t xml:space="preserve"> of local-scale developments</w:t>
      </w:r>
      <w:r w:rsidR="00C70552" w:rsidRPr="00E43CB7">
        <w:rPr>
          <w:szCs w:val="22"/>
        </w:rPr>
        <w:t xml:space="preserve"> on environmental benefits</w:t>
      </w:r>
      <w:r w:rsidR="003C6556">
        <w:rPr>
          <w:szCs w:val="22"/>
        </w:rPr>
        <w:t>, and t</w:t>
      </w:r>
      <w:r w:rsidR="009F4380" w:rsidRPr="00E43CB7">
        <w:rPr>
          <w:szCs w:val="22"/>
        </w:rPr>
        <w:t xml:space="preserve">he case study of a hypothetical tidal barrage within the Taw Torridge estuary illustrates that the proposed </w:t>
      </w:r>
      <w:r w:rsidR="00E43CB7">
        <w:rPr>
          <w:szCs w:val="22"/>
        </w:rPr>
        <w:t>EBA</w:t>
      </w:r>
      <w:r w:rsidR="009F4380" w:rsidRPr="00E43CB7">
        <w:rPr>
          <w:szCs w:val="22"/>
        </w:rPr>
        <w:t xml:space="preserve"> </w:t>
      </w:r>
      <w:r w:rsidR="00D23807">
        <w:rPr>
          <w:szCs w:val="22"/>
        </w:rPr>
        <w:t>methodology</w:t>
      </w:r>
      <w:r w:rsidR="009F4380" w:rsidRPr="00E43CB7">
        <w:rPr>
          <w:szCs w:val="22"/>
        </w:rPr>
        <w:t xml:space="preserve"> functions well</w:t>
      </w:r>
      <w:r w:rsidR="00DD19C6">
        <w:rPr>
          <w:szCs w:val="22"/>
        </w:rPr>
        <w:t xml:space="preserve">. </w:t>
      </w:r>
      <w:r w:rsidR="009F4380" w:rsidRPr="00E43CB7">
        <w:rPr>
          <w:szCs w:val="22"/>
        </w:rPr>
        <w:t xml:space="preserve">However, </w:t>
      </w:r>
      <w:r w:rsidR="003C6556">
        <w:rPr>
          <w:szCs w:val="22"/>
        </w:rPr>
        <w:t xml:space="preserve">progress is needed in addressing </w:t>
      </w:r>
      <w:r w:rsidR="009F4380" w:rsidRPr="00E43CB7">
        <w:rPr>
          <w:szCs w:val="22"/>
        </w:rPr>
        <w:t>the challenges associated with attempting to objectively quantify the delivery of cultural benefits and issues of scale</w:t>
      </w:r>
      <w:r w:rsidR="003C6556">
        <w:rPr>
          <w:szCs w:val="22"/>
        </w:rPr>
        <w:t xml:space="preserve"> to better enable fully comprehensive assessment</w:t>
      </w:r>
      <w:r w:rsidR="00DD19C6">
        <w:rPr>
          <w:szCs w:val="22"/>
        </w:rPr>
        <w:t xml:space="preserve">. </w:t>
      </w:r>
      <w:r w:rsidR="003C6556">
        <w:rPr>
          <w:szCs w:val="22"/>
        </w:rPr>
        <w:t xml:space="preserve"> </w:t>
      </w:r>
      <w:r w:rsidR="009F4380">
        <w:rPr>
          <w:szCs w:val="22"/>
        </w:rPr>
        <w:t>The proposed focus on benefits (as the endpoints of the ecosystem service cascade)</w:t>
      </w:r>
      <w:r w:rsidR="003C6556">
        <w:rPr>
          <w:szCs w:val="22"/>
        </w:rPr>
        <w:t xml:space="preserve"> restricts</w:t>
      </w:r>
      <w:r w:rsidR="00C70552">
        <w:rPr>
          <w:szCs w:val="22"/>
        </w:rPr>
        <w:t xml:space="preserve"> application</w:t>
      </w:r>
      <w:r w:rsidR="003C6556">
        <w:rPr>
          <w:szCs w:val="22"/>
        </w:rPr>
        <w:t xml:space="preserve"> of EBA</w:t>
      </w:r>
      <w:r w:rsidR="00C70552">
        <w:rPr>
          <w:szCs w:val="22"/>
        </w:rPr>
        <w:t xml:space="preserve"> as a broader management tool as it </w:t>
      </w:r>
      <w:r w:rsidR="009F4380">
        <w:rPr>
          <w:szCs w:val="22"/>
        </w:rPr>
        <w:t>excludes information that is highly relevant to managing resources in order to ensure the continued delivery of benef</w:t>
      </w:r>
      <w:r w:rsidR="00C70552">
        <w:rPr>
          <w:szCs w:val="22"/>
        </w:rPr>
        <w:t>i</w:t>
      </w:r>
      <w:r>
        <w:rPr>
          <w:szCs w:val="22"/>
        </w:rPr>
        <w:t>ts</w:t>
      </w:r>
      <w:r w:rsidR="00DD19C6">
        <w:rPr>
          <w:szCs w:val="22"/>
        </w:rPr>
        <w:t xml:space="preserve">. </w:t>
      </w:r>
      <w:r w:rsidR="003C6556">
        <w:rPr>
          <w:szCs w:val="22"/>
        </w:rPr>
        <w:t>Extension of the methodology to include indicators for the marine ecosystem services that provide the environmental benefits remains desirable.</w:t>
      </w:r>
    </w:p>
    <w:p w:rsidR="003C6556" w:rsidRDefault="003C6556" w:rsidP="00CF681C">
      <w:pPr>
        <w:spacing w:line="360" w:lineRule="auto"/>
        <w:jc w:val="left"/>
        <w:rPr>
          <w:szCs w:val="22"/>
        </w:rPr>
      </w:pPr>
    </w:p>
    <w:p w:rsidR="00023DB4" w:rsidRPr="00023DB4" w:rsidRDefault="00023DB4" w:rsidP="00CF681C">
      <w:pPr>
        <w:spacing w:line="360" w:lineRule="auto"/>
        <w:jc w:val="left"/>
        <w:rPr>
          <w:b/>
          <w:szCs w:val="22"/>
        </w:rPr>
      </w:pPr>
      <w:r w:rsidRPr="00DD19C6">
        <w:rPr>
          <w:b/>
          <w:szCs w:val="22"/>
        </w:rPr>
        <w:t>Acknowledgements</w:t>
      </w:r>
    </w:p>
    <w:p w:rsidR="00BE2CD6" w:rsidRDefault="00BE2CD6" w:rsidP="00CF681C">
      <w:pPr>
        <w:autoSpaceDE w:val="0"/>
        <w:autoSpaceDN w:val="0"/>
        <w:adjustRightInd w:val="0"/>
        <w:spacing w:line="360" w:lineRule="auto"/>
        <w:jc w:val="left"/>
        <w:rPr>
          <w:szCs w:val="22"/>
          <w:lang w:eastAsia="en-GB"/>
        </w:rPr>
      </w:pPr>
      <w:r>
        <w:rPr>
          <w:szCs w:val="22"/>
          <w:lang w:eastAsia="en-GB"/>
        </w:rPr>
        <w:t>This research formed part of the programme of the UK Energy Research Centre and was supported by</w:t>
      </w:r>
    </w:p>
    <w:p w:rsidR="00BE2CD6" w:rsidRDefault="00BE2CD6" w:rsidP="00CF681C">
      <w:pPr>
        <w:autoSpaceDE w:val="0"/>
        <w:autoSpaceDN w:val="0"/>
        <w:adjustRightInd w:val="0"/>
        <w:spacing w:line="360" w:lineRule="auto"/>
        <w:jc w:val="left"/>
        <w:rPr>
          <w:szCs w:val="22"/>
          <w:lang w:eastAsia="en-GB"/>
        </w:rPr>
      </w:pPr>
      <w:r>
        <w:rPr>
          <w:szCs w:val="22"/>
          <w:lang w:eastAsia="en-GB"/>
        </w:rPr>
        <w:t>the UK Research Councils under Natural Environment Research Council award NE/G007748/1 and</w:t>
      </w:r>
    </w:p>
    <w:p w:rsidR="00023DB4" w:rsidRDefault="00BE2CD6" w:rsidP="00CF681C">
      <w:pPr>
        <w:autoSpaceDE w:val="0"/>
        <w:autoSpaceDN w:val="0"/>
        <w:adjustRightInd w:val="0"/>
        <w:spacing w:line="360" w:lineRule="auto"/>
        <w:jc w:val="left"/>
        <w:rPr>
          <w:szCs w:val="22"/>
        </w:rPr>
      </w:pPr>
      <w:r>
        <w:rPr>
          <w:szCs w:val="22"/>
          <w:lang w:eastAsia="en-GB"/>
        </w:rPr>
        <w:t>NERC Doctoral Training Grant NE-H525062-1</w:t>
      </w:r>
      <w:r w:rsidR="008E215A">
        <w:rPr>
          <w:szCs w:val="22"/>
          <w:lang w:eastAsia="en-GB"/>
        </w:rPr>
        <w:t xml:space="preserve"> </w:t>
      </w:r>
      <w:r w:rsidR="00A654BE">
        <w:rPr>
          <w:szCs w:val="22"/>
          <w:lang w:eastAsia="en-GB"/>
        </w:rPr>
        <w:t>as well as</w:t>
      </w:r>
      <w:r w:rsidR="00A654BE" w:rsidRPr="00A654BE">
        <w:rPr>
          <w:szCs w:val="22"/>
          <w:lang w:eastAsia="en-GB"/>
        </w:rPr>
        <w:t xml:space="preserve"> the European Community’s Seventh Framework Programme (FP7/2007-2013) within the Ocean of Tomorrow call under Grant Agreement No. 266445 for the project Vectors of Change in Oceans and Seas Marine Life, Impact on Economic Sectors (VECTORS)</w:t>
      </w:r>
      <w:r>
        <w:rPr>
          <w:szCs w:val="22"/>
          <w:lang w:eastAsia="en-GB"/>
        </w:rPr>
        <w:t xml:space="preserve">. </w:t>
      </w:r>
    </w:p>
    <w:p w:rsidR="009D2CAD" w:rsidRDefault="009D2CAD" w:rsidP="00CF681C">
      <w:pPr>
        <w:spacing w:line="360" w:lineRule="auto"/>
        <w:jc w:val="left"/>
        <w:rPr>
          <w:szCs w:val="22"/>
        </w:rPr>
      </w:pPr>
    </w:p>
    <w:p w:rsidR="004535DD" w:rsidRDefault="00D80B08" w:rsidP="00CF681C">
      <w:pPr>
        <w:spacing w:line="360" w:lineRule="auto"/>
        <w:jc w:val="left"/>
        <w:rPr>
          <w:b/>
        </w:rPr>
      </w:pPr>
      <w:r w:rsidRPr="00F3005F">
        <w:rPr>
          <w:b/>
        </w:rPr>
        <w:t>References</w:t>
      </w:r>
      <w:r w:rsidR="004535DD" w:rsidRPr="00F3005F">
        <w:rPr>
          <w:b/>
        </w:rPr>
        <w:t xml:space="preserve"> </w:t>
      </w:r>
    </w:p>
    <w:p w:rsidR="00935FB7" w:rsidRPr="00E12E06" w:rsidRDefault="00935FB7" w:rsidP="00CF681C">
      <w:pPr>
        <w:autoSpaceDE w:val="0"/>
        <w:autoSpaceDN w:val="0"/>
        <w:adjustRightInd w:val="0"/>
        <w:spacing w:after="120" w:line="360" w:lineRule="auto"/>
        <w:ind w:left="284" w:hanging="284"/>
        <w:jc w:val="left"/>
        <w:rPr>
          <w:szCs w:val="22"/>
        </w:rPr>
      </w:pPr>
      <w:proofErr w:type="spellStart"/>
      <w:r w:rsidRPr="00E12E06">
        <w:rPr>
          <w:szCs w:val="22"/>
        </w:rPr>
        <w:t>Abell</w:t>
      </w:r>
      <w:proofErr w:type="spellEnd"/>
      <w:r w:rsidRPr="00E12E06">
        <w:rPr>
          <w:szCs w:val="22"/>
        </w:rPr>
        <w:t xml:space="preserve"> L. and </w:t>
      </w:r>
      <w:proofErr w:type="spellStart"/>
      <w:r w:rsidRPr="00E12E06">
        <w:rPr>
          <w:szCs w:val="22"/>
        </w:rPr>
        <w:t>Bromham</w:t>
      </w:r>
      <w:proofErr w:type="spellEnd"/>
      <w:r w:rsidRPr="00E12E06">
        <w:rPr>
          <w:szCs w:val="22"/>
        </w:rPr>
        <w:t xml:space="preserve"> I. 2009. </w:t>
      </w:r>
      <w:r w:rsidRPr="00E12E06">
        <w:rPr>
          <w:rFonts w:eastAsia="Calibri"/>
          <w:bCs/>
          <w:szCs w:val="22"/>
          <w:lang w:eastAsia="en-GB"/>
        </w:rPr>
        <w:t xml:space="preserve">The Value of the </w:t>
      </w:r>
      <w:proofErr w:type="spellStart"/>
      <w:r w:rsidRPr="00E12E06">
        <w:rPr>
          <w:rFonts w:eastAsia="Calibri"/>
          <w:bCs/>
          <w:szCs w:val="22"/>
          <w:lang w:eastAsia="en-GB"/>
        </w:rPr>
        <w:t>Watersports</w:t>
      </w:r>
      <w:proofErr w:type="spellEnd"/>
      <w:r w:rsidRPr="00E12E06">
        <w:rPr>
          <w:rFonts w:eastAsia="Calibri"/>
          <w:bCs/>
          <w:szCs w:val="22"/>
          <w:lang w:eastAsia="en-GB"/>
        </w:rPr>
        <w:t xml:space="preserve"> Economy in North Devon. July 2009. 77pp</w:t>
      </w:r>
    </w:p>
    <w:p w:rsidR="00E9333C" w:rsidRPr="00581FB8" w:rsidRDefault="00E9333C" w:rsidP="00E9333C">
      <w:pPr>
        <w:autoSpaceDE w:val="0"/>
        <w:autoSpaceDN w:val="0"/>
        <w:adjustRightInd w:val="0"/>
        <w:spacing w:after="120" w:line="360" w:lineRule="auto"/>
        <w:ind w:left="284" w:hanging="284"/>
        <w:rPr>
          <w:szCs w:val="22"/>
        </w:rPr>
      </w:pPr>
      <w:r w:rsidRPr="00581FB8">
        <w:rPr>
          <w:szCs w:val="22"/>
        </w:rPr>
        <w:t xml:space="preserve">Ackermann F. and </w:t>
      </w:r>
      <w:proofErr w:type="spellStart"/>
      <w:r w:rsidRPr="00581FB8">
        <w:rPr>
          <w:szCs w:val="22"/>
        </w:rPr>
        <w:t>Heinzerling</w:t>
      </w:r>
      <w:proofErr w:type="spellEnd"/>
      <w:r w:rsidRPr="00581FB8">
        <w:rPr>
          <w:szCs w:val="22"/>
        </w:rPr>
        <w:t xml:space="preserve"> L. 2004.  </w:t>
      </w:r>
      <w:r w:rsidRPr="00581FB8">
        <w:rPr>
          <w:rStyle w:val="Emphasis"/>
          <w:szCs w:val="22"/>
        </w:rPr>
        <w:t>Priceless. On Knowing the Price of Everything and the Value of Nothing.</w:t>
      </w:r>
      <w:r w:rsidRPr="00581FB8">
        <w:rPr>
          <w:szCs w:val="22"/>
        </w:rPr>
        <w:t xml:space="preserve"> The New Press, New York/London. 277pp </w:t>
      </w:r>
    </w:p>
    <w:p w:rsidR="00935FB7" w:rsidRPr="00E12E06" w:rsidRDefault="00935FB7" w:rsidP="00CF681C">
      <w:pPr>
        <w:spacing w:after="120" w:line="360" w:lineRule="auto"/>
        <w:ind w:left="284" w:hanging="284"/>
        <w:jc w:val="left"/>
        <w:rPr>
          <w:szCs w:val="22"/>
        </w:rPr>
      </w:pPr>
      <w:proofErr w:type="spellStart"/>
      <w:r w:rsidRPr="00E12E06">
        <w:rPr>
          <w:szCs w:val="22"/>
        </w:rPr>
        <w:t>Appledore</w:t>
      </w:r>
      <w:proofErr w:type="spellEnd"/>
      <w:r w:rsidRPr="00E12E06">
        <w:rPr>
          <w:szCs w:val="22"/>
        </w:rPr>
        <w:t xml:space="preserve"> Arts, 2010. </w:t>
      </w:r>
      <w:hyperlink r:id="rId10" w:history="1">
        <w:r w:rsidRPr="00E12E06">
          <w:rPr>
            <w:rStyle w:val="Hyperlink"/>
            <w:rFonts w:eastAsia="Calibri"/>
            <w:color w:val="auto"/>
            <w:szCs w:val="22"/>
            <w:lang w:eastAsia="en-GB"/>
          </w:rPr>
          <w:t>http://www.appledorearts.org/index.htm</w:t>
        </w:r>
      </w:hyperlink>
      <w:r w:rsidRPr="00E12E06">
        <w:rPr>
          <w:rFonts w:eastAsia="Calibri"/>
          <w:szCs w:val="22"/>
          <w:lang w:eastAsia="en-GB"/>
        </w:rPr>
        <w:t xml:space="preserve">  Accessed 9 December 2010.</w:t>
      </w:r>
    </w:p>
    <w:p w:rsidR="00935FB7" w:rsidRPr="00E12E06" w:rsidRDefault="00935FB7" w:rsidP="00CF681C">
      <w:pPr>
        <w:autoSpaceDE w:val="0"/>
        <w:autoSpaceDN w:val="0"/>
        <w:adjustRightInd w:val="0"/>
        <w:spacing w:after="120" w:line="360" w:lineRule="auto"/>
        <w:ind w:left="284" w:hanging="284"/>
        <w:jc w:val="left"/>
        <w:rPr>
          <w:lang w:eastAsia="en-GB"/>
        </w:rPr>
      </w:pPr>
      <w:proofErr w:type="spellStart"/>
      <w:r w:rsidRPr="00E12E06">
        <w:rPr>
          <w:lang w:eastAsia="en-GB"/>
        </w:rPr>
        <w:t>Balmford</w:t>
      </w:r>
      <w:proofErr w:type="spellEnd"/>
      <w:r w:rsidRPr="00E12E06">
        <w:rPr>
          <w:lang w:eastAsia="en-GB"/>
        </w:rPr>
        <w:t>, A., Rodrigues, A.S.L., Walpole, M., ten Brink, P., Kettunen, M., Braat, L. &amp; de Groot, R. 2008. The Economics of Biodiversity and Ecosystems: Scoping the Science. Cambridge, UK: European Commission (contract: ENV/070307/2007/486089/ETU/B2). 305pp</w:t>
      </w:r>
    </w:p>
    <w:p w:rsidR="00935FB7" w:rsidRPr="00E12E06" w:rsidRDefault="00935FB7" w:rsidP="00CF681C">
      <w:pPr>
        <w:spacing w:after="120" w:line="360" w:lineRule="auto"/>
        <w:ind w:left="284" w:hanging="284"/>
        <w:jc w:val="left"/>
        <w:rPr>
          <w:szCs w:val="22"/>
        </w:rPr>
      </w:pPr>
      <w:proofErr w:type="spellStart"/>
      <w:r w:rsidRPr="00E12E06">
        <w:rPr>
          <w:szCs w:val="22"/>
        </w:rPr>
        <w:t>Balvanera</w:t>
      </w:r>
      <w:proofErr w:type="spellEnd"/>
      <w:r w:rsidRPr="00E12E06">
        <w:rPr>
          <w:szCs w:val="22"/>
        </w:rPr>
        <w:t xml:space="preserve"> P, </w:t>
      </w:r>
      <w:proofErr w:type="spellStart"/>
      <w:r w:rsidRPr="00E12E06">
        <w:rPr>
          <w:szCs w:val="22"/>
        </w:rPr>
        <w:t>Pfisterer</w:t>
      </w:r>
      <w:proofErr w:type="spellEnd"/>
      <w:r w:rsidRPr="00E12E06">
        <w:rPr>
          <w:szCs w:val="22"/>
        </w:rPr>
        <w:t xml:space="preserve"> A, </w:t>
      </w:r>
      <w:proofErr w:type="spellStart"/>
      <w:r w:rsidRPr="00E12E06">
        <w:rPr>
          <w:szCs w:val="22"/>
        </w:rPr>
        <w:t>Buchmann</w:t>
      </w:r>
      <w:proofErr w:type="spellEnd"/>
      <w:r w:rsidRPr="00E12E06">
        <w:rPr>
          <w:szCs w:val="22"/>
        </w:rPr>
        <w:t xml:space="preserve"> N, He J-S, </w:t>
      </w:r>
      <w:proofErr w:type="spellStart"/>
      <w:r w:rsidRPr="00E12E06">
        <w:rPr>
          <w:szCs w:val="22"/>
        </w:rPr>
        <w:t>Nakashizuka</w:t>
      </w:r>
      <w:proofErr w:type="spellEnd"/>
      <w:r w:rsidRPr="00E12E06">
        <w:rPr>
          <w:szCs w:val="22"/>
        </w:rPr>
        <w:t xml:space="preserve"> T, </w:t>
      </w:r>
      <w:proofErr w:type="spellStart"/>
      <w:r w:rsidRPr="00E12E06">
        <w:rPr>
          <w:szCs w:val="22"/>
        </w:rPr>
        <w:t>Raffaelli</w:t>
      </w:r>
      <w:proofErr w:type="spellEnd"/>
      <w:r w:rsidRPr="00E12E06">
        <w:rPr>
          <w:szCs w:val="22"/>
        </w:rPr>
        <w:t xml:space="preserve"> D and </w:t>
      </w:r>
      <w:proofErr w:type="spellStart"/>
      <w:r w:rsidRPr="00E12E06">
        <w:rPr>
          <w:szCs w:val="22"/>
        </w:rPr>
        <w:t>Schmid</w:t>
      </w:r>
      <w:proofErr w:type="spellEnd"/>
      <w:r w:rsidRPr="00E12E06">
        <w:rPr>
          <w:szCs w:val="22"/>
        </w:rPr>
        <w:t xml:space="preserve"> B. 2006. Quantifying the evidence for biodiversity effects on ecosystem functioning and services. Ecol</w:t>
      </w:r>
      <w:r w:rsidR="00E12E06">
        <w:rPr>
          <w:szCs w:val="22"/>
        </w:rPr>
        <w:t>.</w:t>
      </w:r>
      <w:r w:rsidRPr="00E12E06">
        <w:rPr>
          <w:szCs w:val="22"/>
        </w:rPr>
        <w:t xml:space="preserve"> Lett</w:t>
      </w:r>
      <w:r w:rsidR="00E12E06">
        <w:rPr>
          <w:szCs w:val="22"/>
        </w:rPr>
        <w:t>.</w:t>
      </w:r>
      <w:r w:rsidRPr="00E12E06">
        <w:rPr>
          <w:szCs w:val="22"/>
        </w:rPr>
        <w:t xml:space="preserve"> 9: 1146-1156</w:t>
      </w:r>
    </w:p>
    <w:p w:rsidR="00E9333C" w:rsidRPr="00581FB8" w:rsidRDefault="00E9333C" w:rsidP="00E9333C">
      <w:pPr>
        <w:spacing w:after="120" w:line="360" w:lineRule="auto"/>
        <w:ind w:left="284" w:hanging="284"/>
      </w:pPr>
      <w:proofErr w:type="spellStart"/>
      <w:r w:rsidRPr="00581FB8">
        <w:lastRenderedPageBreak/>
        <w:t>Barbier</w:t>
      </w:r>
      <w:proofErr w:type="spellEnd"/>
      <w:r w:rsidRPr="00581FB8">
        <w:t xml:space="preserve"> E.B. 2007. Valuing ecosystem services as productive inputs. </w:t>
      </w:r>
      <w:r w:rsidRPr="00581FB8">
        <w:rPr>
          <w:i/>
        </w:rPr>
        <w:t>Economic Policy</w:t>
      </w:r>
      <w:r w:rsidRPr="00581FB8">
        <w:t xml:space="preserve"> </w:t>
      </w:r>
      <w:r w:rsidRPr="00581FB8">
        <w:rPr>
          <w:b/>
        </w:rPr>
        <w:t>22(49)</w:t>
      </w:r>
      <w:r w:rsidRPr="00581FB8">
        <w:t>: 177-229</w:t>
      </w:r>
    </w:p>
    <w:p w:rsidR="00935FB7" w:rsidRPr="00E12E06" w:rsidRDefault="00935FB7" w:rsidP="00CF681C">
      <w:pPr>
        <w:spacing w:after="120" w:line="360" w:lineRule="auto"/>
        <w:ind w:left="284" w:hanging="284"/>
        <w:jc w:val="left"/>
        <w:rPr>
          <w:szCs w:val="22"/>
        </w:rPr>
      </w:pPr>
      <w:proofErr w:type="spellStart"/>
      <w:r w:rsidRPr="00E12E06">
        <w:rPr>
          <w:szCs w:val="22"/>
        </w:rPr>
        <w:t>Barbier</w:t>
      </w:r>
      <w:proofErr w:type="spellEnd"/>
      <w:r w:rsidRPr="00E12E06">
        <w:rPr>
          <w:szCs w:val="22"/>
        </w:rPr>
        <w:t xml:space="preserve"> E.B. 1994. Valuing Environmental Functions: Tropical Wetlands: Land Econ</w:t>
      </w:r>
      <w:r w:rsidR="00E12E06">
        <w:rPr>
          <w:szCs w:val="22"/>
        </w:rPr>
        <w:t>.</w:t>
      </w:r>
      <w:r w:rsidRPr="00E12E06">
        <w:rPr>
          <w:szCs w:val="22"/>
        </w:rPr>
        <w:t xml:space="preserve"> 70(2): 155-173</w:t>
      </w:r>
    </w:p>
    <w:p w:rsidR="00935FB7" w:rsidRPr="00E12E06" w:rsidRDefault="00935FB7" w:rsidP="00CF681C">
      <w:pPr>
        <w:spacing w:after="120" w:line="360" w:lineRule="auto"/>
        <w:ind w:left="284" w:hanging="284"/>
        <w:jc w:val="left"/>
      </w:pPr>
      <w:r w:rsidRPr="00E12E06">
        <w:t>Beaumont N.J, Austen M.C. Mangi S.C. and Townsend M. 2008. Economic valuation for the conservation of marine biodiversity</w:t>
      </w:r>
      <w:r w:rsidR="00DD19C6" w:rsidRPr="00E12E06">
        <w:t xml:space="preserve">. </w:t>
      </w:r>
      <w:r w:rsidRPr="00E12E06">
        <w:t>Mar</w:t>
      </w:r>
      <w:r w:rsidR="00E12E06">
        <w:t>.</w:t>
      </w:r>
      <w:r w:rsidRPr="00E12E06">
        <w:t xml:space="preserve"> </w:t>
      </w:r>
      <w:proofErr w:type="spellStart"/>
      <w:r w:rsidRPr="00E12E06">
        <w:t>Pollut</w:t>
      </w:r>
      <w:proofErr w:type="spellEnd"/>
      <w:r w:rsidR="00E12E06">
        <w:t>. Bull.</w:t>
      </w:r>
      <w:r w:rsidRPr="00E12E06">
        <w:t xml:space="preserve"> 56: 386-396</w:t>
      </w:r>
    </w:p>
    <w:p w:rsidR="00935FB7" w:rsidRPr="00E12E06" w:rsidRDefault="00935FB7" w:rsidP="00CF681C">
      <w:pPr>
        <w:pStyle w:val="Default"/>
        <w:spacing w:after="120" w:line="360" w:lineRule="auto"/>
        <w:ind w:left="284" w:hanging="284"/>
        <w:rPr>
          <w:rFonts w:ascii="Times New Roman" w:hAnsi="Times New Roman" w:cs="Times New Roman"/>
          <w:bCs/>
          <w:sz w:val="22"/>
          <w:szCs w:val="22"/>
        </w:rPr>
      </w:pPr>
      <w:r w:rsidRPr="00E12E06">
        <w:rPr>
          <w:rFonts w:ascii="Times New Roman" w:hAnsi="Times New Roman" w:cs="Times New Roman"/>
          <w:bCs/>
          <w:sz w:val="22"/>
          <w:szCs w:val="22"/>
        </w:rPr>
        <w:t xml:space="preserve">Boyd J. and Banzhaf S. 2007. What are ecosystem services? The need for standardized environmental accounting units. </w:t>
      </w:r>
      <w:r w:rsidR="00E12E06">
        <w:rPr>
          <w:rFonts w:ascii="Times New Roman" w:hAnsi="Times New Roman" w:cs="Times New Roman"/>
          <w:bCs/>
          <w:sz w:val="22"/>
          <w:szCs w:val="22"/>
        </w:rPr>
        <w:t>Ecol. Econ.</w:t>
      </w:r>
      <w:r w:rsidRPr="00E12E06">
        <w:rPr>
          <w:rFonts w:ascii="Times New Roman" w:hAnsi="Times New Roman" w:cs="Times New Roman"/>
          <w:bCs/>
          <w:sz w:val="22"/>
          <w:szCs w:val="22"/>
        </w:rPr>
        <w:t xml:space="preserve"> 63: 616-626.</w:t>
      </w:r>
    </w:p>
    <w:p w:rsidR="00935FB7" w:rsidRPr="00E12E06" w:rsidRDefault="00935FB7" w:rsidP="00CF681C">
      <w:pPr>
        <w:autoSpaceDE w:val="0"/>
        <w:autoSpaceDN w:val="0"/>
        <w:adjustRightInd w:val="0"/>
        <w:spacing w:after="120" w:line="360" w:lineRule="auto"/>
        <w:ind w:left="284" w:hanging="284"/>
        <w:jc w:val="left"/>
        <w:rPr>
          <w:rFonts w:eastAsia="Calibri"/>
          <w:szCs w:val="22"/>
          <w:lang w:eastAsia="en-GB"/>
        </w:rPr>
      </w:pPr>
      <w:proofErr w:type="spellStart"/>
      <w:r w:rsidRPr="00E12E06">
        <w:rPr>
          <w:rFonts w:eastAsia="Calibri"/>
          <w:szCs w:val="22"/>
          <w:lang w:eastAsia="en-GB"/>
        </w:rPr>
        <w:t>Calbrade</w:t>
      </w:r>
      <w:proofErr w:type="spellEnd"/>
      <w:r w:rsidRPr="00E12E06">
        <w:rPr>
          <w:rFonts w:eastAsia="Calibri"/>
          <w:szCs w:val="22"/>
          <w:lang w:eastAsia="en-GB"/>
        </w:rPr>
        <w:t xml:space="preserve"> N.A., Holt C.A., Austin, G.E., </w:t>
      </w:r>
      <w:proofErr w:type="spellStart"/>
      <w:r w:rsidRPr="00E12E06">
        <w:rPr>
          <w:rFonts w:eastAsia="Calibri"/>
          <w:szCs w:val="22"/>
          <w:lang w:eastAsia="en-GB"/>
        </w:rPr>
        <w:t>Mellan</w:t>
      </w:r>
      <w:proofErr w:type="spellEnd"/>
      <w:r w:rsidRPr="00E12E06">
        <w:rPr>
          <w:rFonts w:eastAsia="Calibri"/>
          <w:szCs w:val="22"/>
          <w:lang w:eastAsia="en-GB"/>
        </w:rPr>
        <w:t xml:space="preserve"> H.J., Hearn R.D., Stroud D.A., Wotton S.R. and Musgrove A.J</w:t>
      </w:r>
      <w:r w:rsidR="00DD19C6" w:rsidRPr="00E12E06">
        <w:rPr>
          <w:rFonts w:eastAsia="Calibri"/>
          <w:szCs w:val="22"/>
          <w:lang w:eastAsia="en-GB"/>
        </w:rPr>
        <w:t xml:space="preserve">. </w:t>
      </w:r>
      <w:r w:rsidRPr="00E12E06">
        <w:rPr>
          <w:rFonts w:eastAsia="Calibri"/>
          <w:szCs w:val="22"/>
          <w:lang w:eastAsia="en-GB"/>
        </w:rPr>
        <w:t xml:space="preserve">2010. </w:t>
      </w:r>
      <w:proofErr w:type="spellStart"/>
      <w:r w:rsidRPr="00E12E06">
        <w:rPr>
          <w:rFonts w:eastAsia="Calibri"/>
          <w:szCs w:val="22"/>
          <w:lang w:eastAsia="en-GB"/>
        </w:rPr>
        <w:t>Waterbirds</w:t>
      </w:r>
      <w:proofErr w:type="spellEnd"/>
      <w:r w:rsidRPr="00E12E06">
        <w:rPr>
          <w:rFonts w:eastAsia="Calibri"/>
          <w:szCs w:val="22"/>
          <w:lang w:eastAsia="en-GB"/>
        </w:rPr>
        <w:t xml:space="preserve"> in the UK 2008/09: The Wetland Bird Survey. BTO/RSPB/JNCC in association with WWT, Thetford.</w:t>
      </w:r>
    </w:p>
    <w:p w:rsidR="00935FB7" w:rsidRPr="00E12E06" w:rsidRDefault="00935FB7" w:rsidP="00CF681C">
      <w:pPr>
        <w:autoSpaceDE w:val="0"/>
        <w:autoSpaceDN w:val="0"/>
        <w:adjustRightInd w:val="0"/>
        <w:spacing w:after="120" w:line="360" w:lineRule="auto"/>
        <w:ind w:left="284" w:hanging="284"/>
        <w:jc w:val="left"/>
        <w:rPr>
          <w:szCs w:val="22"/>
        </w:rPr>
      </w:pPr>
      <w:r w:rsidRPr="00E12E06">
        <w:rPr>
          <w:szCs w:val="22"/>
        </w:rPr>
        <w:t xml:space="preserve">CEFAS and Environment Agency 2010. </w:t>
      </w:r>
      <w:r w:rsidRPr="00E12E06">
        <w:rPr>
          <w:rFonts w:eastAsia="Calibri"/>
          <w:bCs/>
          <w:szCs w:val="22"/>
          <w:lang w:eastAsia="en-GB"/>
        </w:rPr>
        <w:t>Salmon Stocks and Fisheries in England and Wales, 2009. Preliminary assessment prepared for ICES, March 2010</w:t>
      </w:r>
      <w:r w:rsidR="00DD19C6" w:rsidRPr="00E12E06">
        <w:rPr>
          <w:rFonts w:eastAsia="Calibri"/>
          <w:bCs/>
          <w:szCs w:val="22"/>
          <w:lang w:eastAsia="en-GB"/>
        </w:rPr>
        <w:t xml:space="preserve">. </w:t>
      </w:r>
      <w:r w:rsidRPr="00E12E06">
        <w:rPr>
          <w:rFonts w:eastAsia="Calibri"/>
          <w:bCs/>
          <w:szCs w:val="22"/>
          <w:lang w:eastAsia="en-GB"/>
        </w:rPr>
        <w:t>126pp</w:t>
      </w:r>
    </w:p>
    <w:p w:rsidR="00935FB7" w:rsidRPr="00E12E06" w:rsidRDefault="00935FB7" w:rsidP="00CF681C">
      <w:pPr>
        <w:spacing w:after="120" w:line="360" w:lineRule="auto"/>
        <w:ind w:left="284" w:hanging="284"/>
        <w:jc w:val="left"/>
        <w:rPr>
          <w:szCs w:val="22"/>
        </w:rPr>
      </w:pPr>
      <w:r w:rsidRPr="00E12E06">
        <w:rPr>
          <w:szCs w:val="22"/>
        </w:rPr>
        <w:t xml:space="preserve">Chan K.M.A, </w:t>
      </w:r>
      <w:proofErr w:type="spellStart"/>
      <w:r w:rsidRPr="00E12E06">
        <w:rPr>
          <w:szCs w:val="22"/>
        </w:rPr>
        <w:t>Guerry</w:t>
      </w:r>
      <w:proofErr w:type="spellEnd"/>
      <w:r w:rsidRPr="00E12E06">
        <w:rPr>
          <w:szCs w:val="22"/>
        </w:rPr>
        <w:t xml:space="preserve"> A.D., </w:t>
      </w:r>
      <w:proofErr w:type="spellStart"/>
      <w:r w:rsidRPr="00E12E06">
        <w:rPr>
          <w:szCs w:val="22"/>
        </w:rPr>
        <w:t>Balvanera</w:t>
      </w:r>
      <w:proofErr w:type="spellEnd"/>
      <w:r w:rsidRPr="00E12E06">
        <w:rPr>
          <w:szCs w:val="22"/>
        </w:rPr>
        <w:t xml:space="preserve"> P., </w:t>
      </w:r>
      <w:proofErr w:type="spellStart"/>
      <w:r w:rsidRPr="00E12E06">
        <w:rPr>
          <w:szCs w:val="22"/>
        </w:rPr>
        <w:t>Klain</w:t>
      </w:r>
      <w:proofErr w:type="spellEnd"/>
      <w:r w:rsidRPr="00E12E06">
        <w:rPr>
          <w:szCs w:val="22"/>
        </w:rPr>
        <w:t xml:space="preserve"> S., Satterfield T., </w:t>
      </w:r>
      <w:proofErr w:type="spellStart"/>
      <w:r w:rsidRPr="00E12E06">
        <w:rPr>
          <w:szCs w:val="22"/>
        </w:rPr>
        <w:t>Basurto</w:t>
      </w:r>
      <w:proofErr w:type="spellEnd"/>
      <w:r w:rsidRPr="00E12E06">
        <w:rPr>
          <w:szCs w:val="22"/>
        </w:rPr>
        <w:t xml:space="preserve"> X., </w:t>
      </w:r>
      <w:proofErr w:type="spellStart"/>
      <w:r w:rsidRPr="00E12E06">
        <w:rPr>
          <w:szCs w:val="22"/>
        </w:rPr>
        <w:t>Bostrom</w:t>
      </w:r>
      <w:proofErr w:type="spellEnd"/>
      <w:r w:rsidRPr="00E12E06">
        <w:rPr>
          <w:szCs w:val="22"/>
        </w:rPr>
        <w:t xml:space="preserve"> A., </w:t>
      </w:r>
      <w:proofErr w:type="spellStart"/>
      <w:r w:rsidRPr="00E12E06">
        <w:rPr>
          <w:szCs w:val="22"/>
        </w:rPr>
        <w:t>Chuenpagdee</w:t>
      </w:r>
      <w:proofErr w:type="spellEnd"/>
      <w:r w:rsidRPr="00E12E06">
        <w:rPr>
          <w:szCs w:val="22"/>
        </w:rPr>
        <w:t xml:space="preserve"> R., Gould R., Halpern B.S., </w:t>
      </w:r>
      <w:proofErr w:type="spellStart"/>
      <w:r w:rsidRPr="00E12E06">
        <w:rPr>
          <w:szCs w:val="22"/>
        </w:rPr>
        <w:t>Hannahs</w:t>
      </w:r>
      <w:proofErr w:type="spellEnd"/>
      <w:r w:rsidRPr="00E12E06">
        <w:rPr>
          <w:szCs w:val="22"/>
        </w:rPr>
        <w:t xml:space="preserve"> N., Levine J., Norton B., Ruckelshaus M., Russel R., Tam J. and Woodside U. 2012. Where are Cultural and Social Ecosystem Services? A Framework for Constructive Engagement. </w:t>
      </w:r>
      <w:proofErr w:type="spellStart"/>
      <w:r w:rsidRPr="00E12E06">
        <w:rPr>
          <w:szCs w:val="22"/>
        </w:rPr>
        <w:t>Biosci</w:t>
      </w:r>
      <w:proofErr w:type="spellEnd"/>
      <w:r w:rsidR="00F96833">
        <w:rPr>
          <w:szCs w:val="22"/>
        </w:rPr>
        <w:t>.</w:t>
      </w:r>
      <w:r w:rsidRPr="00E12E06">
        <w:rPr>
          <w:szCs w:val="22"/>
        </w:rPr>
        <w:t xml:space="preserve"> 62(8): 744-756</w:t>
      </w:r>
    </w:p>
    <w:p w:rsidR="00E9333C" w:rsidRPr="00581FB8" w:rsidRDefault="00E9333C" w:rsidP="00E9333C">
      <w:pPr>
        <w:spacing w:after="120" w:line="360" w:lineRule="auto"/>
        <w:ind w:left="284" w:hanging="284"/>
        <w:rPr>
          <w:szCs w:val="22"/>
        </w:rPr>
      </w:pPr>
      <w:proofErr w:type="spellStart"/>
      <w:r w:rsidRPr="00581FB8">
        <w:rPr>
          <w:szCs w:val="22"/>
        </w:rPr>
        <w:t>Costanza</w:t>
      </w:r>
      <w:proofErr w:type="spellEnd"/>
      <w:r w:rsidRPr="00581FB8">
        <w:rPr>
          <w:szCs w:val="22"/>
        </w:rPr>
        <w:t xml:space="preserve"> R, </w:t>
      </w:r>
      <w:proofErr w:type="spellStart"/>
      <w:r w:rsidRPr="00581FB8">
        <w:rPr>
          <w:szCs w:val="22"/>
        </w:rPr>
        <w:t>d’Arge</w:t>
      </w:r>
      <w:proofErr w:type="spellEnd"/>
      <w:r w:rsidRPr="00581FB8">
        <w:rPr>
          <w:szCs w:val="22"/>
        </w:rPr>
        <w:t xml:space="preserve"> R, de Groot R, Farber S, Grasso M, Hannon B, Limburg K, </w:t>
      </w:r>
      <w:proofErr w:type="spellStart"/>
      <w:r w:rsidRPr="00581FB8">
        <w:rPr>
          <w:szCs w:val="22"/>
        </w:rPr>
        <w:t>Naeem</w:t>
      </w:r>
      <w:proofErr w:type="spellEnd"/>
      <w:r w:rsidRPr="00581FB8">
        <w:rPr>
          <w:szCs w:val="22"/>
        </w:rPr>
        <w:t xml:space="preserve"> S, O’Neill R.V, </w:t>
      </w:r>
      <w:proofErr w:type="spellStart"/>
      <w:r w:rsidRPr="00581FB8">
        <w:rPr>
          <w:szCs w:val="22"/>
        </w:rPr>
        <w:t>Paruela</w:t>
      </w:r>
      <w:proofErr w:type="spellEnd"/>
      <w:r w:rsidRPr="00581FB8">
        <w:rPr>
          <w:szCs w:val="22"/>
        </w:rPr>
        <w:t xml:space="preserve"> J, </w:t>
      </w:r>
      <w:proofErr w:type="spellStart"/>
      <w:r w:rsidRPr="00581FB8">
        <w:rPr>
          <w:szCs w:val="22"/>
        </w:rPr>
        <w:t>Raskin</w:t>
      </w:r>
      <w:proofErr w:type="spellEnd"/>
      <w:r w:rsidRPr="00581FB8">
        <w:rPr>
          <w:szCs w:val="22"/>
        </w:rPr>
        <w:t xml:space="preserve"> R.G, Sutton P and van den Belt M. 1997. The value of the world’s ecosystem services and natural capital.  </w:t>
      </w:r>
      <w:r w:rsidRPr="00581FB8">
        <w:rPr>
          <w:i/>
          <w:szCs w:val="22"/>
        </w:rPr>
        <w:t>Nature</w:t>
      </w:r>
      <w:r w:rsidRPr="00581FB8">
        <w:rPr>
          <w:szCs w:val="22"/>
        </w:rPr>
        <w:t xml:space="preserve"> </w:t>
      </w:r>
      <w:r w:rsidRPr="00581FB8">
        <w:rPr>
          <w:b/>
          <w:szCs w:val="22"/>
        </w:rPr>
        <w:t>387</w:t>
      </w:r>
      <w:r w:rsidRPr="00581FB8">
        <w:rPr>
          <w:szCs w:val="22"/>
        </w:rPr>
        <w:t>: 253-260</w:t>
      </w:r>
    </w:p>
    <w:p w:rsidR="00935FB7" w:rsidRPr="00E12E06" w:rsidRDefault="00935FB7" w:rsidP="00CF681C">
      <w:pPr>
        <w:spacing w:after="120" w:line="360" w:lineRule="auto"/>
        <w:ind w:left="284" w:hanging="284"/>
        <w:jc w:val="left"/>
      </w:pPr>
      <w:r w:rsidRPr="00E12E06">
        <w:t>Daily G.C. (Ed) 1997. Nature’s Services: Societal Dependence on Natural Ecosystems. Island Press, Washington. 392pp</w:t>
      </w:r>
    </w:p>
    <w:p w:rsidR="00935FB7" w:rsidRPr="00E12E06" w:rsidRDefault="00935FB7" w:rsidP="00CF681C">
      <w:pPr>
        <w:autoSpaceDE w:val="0"/>
        <w:autoSpaceDN w:val="0"/>
        <w:adjustRightInd w:val="0"/>
        <w:spacing w:after="120" w:line="360" w:lineRule="auto"/>
        <w:ind w:left="284" w:hanging="284"/>
        <w:jc w:val="left"/>
        <w:rPr>
          <w:szCs w:val="22"/>
          <w:lang w:eastAsia="en-GB"/>
        </w:rPr>
      </w:pPr>
      <w:r w:rsidRPr="00E12E06">
        <w:rPr>
          <w:szCs w:val="22"/>
          <w:lang w:eastAsia="en-GB"/>
        </w:rPr>
        <w:t xml:space="preserve">Daniel T.C., </w:t>
      </w:r>
      <w:proofErr w:type="spellStart"/>
      <w:r w:rsidRPr="00E12E06">
        <w:rPr>
          <w:szCs w:val="22"/>
          <w:lang w:eastAsia="en-GB"/>
        </w:rPr>
        <w:t>Muhar</w:t>
      </w:r>
      <w:proofErr w:type="spellEnd"/>
      <w:r w:rsidRPr="00E12E06">
        <w:rPr>
          <w:szCs w:val="22"/>
          <w:lang w:eastAsia="en-GB"/>
        </w:rPr>
        <w:t xml:space="preserve"> A., </w:t>
      </w:r>
      <w:proofErr w:type="spellStart"/>
      <w:r w:rsidRPr="00E12E06">
        <w:rPr>
          <w:szCs w:val="22"/>
          <w:lang w:eastAsia="en-GB"/>
        </w:rPr>
        <w:t>Arnberger</w:t>
      </w:r>
      <w:proofErr w:type="spellEnd"/>
      <w:r w:rsidRPr="00E12E06">
        <w:rPr>
          <w:szCs w:val="22"/>
          <w:lang w:eastAsia="en-GB"/>
        </w:rPr>
        <w:t xml:space="preserve"> A., Aznar O., Boyd J.W., Chan K.M.A., </w:t>
      </w:r>
      <w:proofErr w:type="spellStart"/>
      <w:r w:rsidRPr="00E12E06">
        <w:rPr>
          <w:szCs w:val="22"/>
          <w:lang w:eastAsia="en-GB"/>
        </w:rPr>
        <w:t>Costanza</w:t>
      </w:r>
      <w:proofErr w:type="spellEnd"/>
      <w:r w:rsidRPr="00E12E06">
        <w:rPr>
          <w:szCs w:val="22"/>
          <w:lang w:eastAsia="en-GB"/>
        </w:rPr>
        <w:t xml:space="preserve"> R., </w:t>
      </w:r>
      <w:proofErr w:type="spellStart"/>
      <w:r w:rsidRPr="00E12E06">
        <w:rPr>
          <w:szCs w:val="22"/>
          <w:lang w:eastAsia="en-GB"/>
        </w:rPr>
        <w:t>Elmqvist</w:t>
      </w:r>
      <w:proofErr w:type="spellEnd"/>
      <w:r w:rsidRPr="00E12E06">
        <w:rPr>
          <w:szCs w:val="22"/>
          <w:lang w:eastAsia="en-GB"/>
        </w:rPr>
        <w:t xml:space="preserve"> T., Flint C.G., </w:t>
      </w:r>
      <w:proofErr w:type="spellStart"/>
      <w:r w:rsidRPr="00E12E06">
        <w:rPr>
          <w:szCs w:val="22"/>
          <w:lang w:eastAsia="en-GB"/>
        </w:rPr>
        <w:t>Gobster</w:t>
      </w:r>
      <w:proofErr w:type="spellEnd"/>
      <w:r w:rsidRPr="00E12E06">
        <w:rPr>
          <w:szCs w:val="22"/>
          <w:lang w:eastAsia="en-GB"/>
        </w:rPr>
        <w:t xml:space="preserve"> P.H., </w:t>
      </w:r>
      <w:proofErr w:type="spellStart"/>
      <w:r w:rsidRPr="00E12E06">
        <w:rPr>
          <w:szCs w:val="22"/>
          <w:lang w:eastAsia="en-GB"/>
        </w:rPr>
        <w:t>Grêt-Regamey</w:t>
      </w:r>
      <w:proofErr w:type="spellEnd"/>
      <w:r w:rsidRPr="00E12E06">
        <w:rPr>
          <w:szCs w:val="22"/>
          <w:lang w:eastAsia="en-GB"/>
        </w:rPr>
        <w:t xml:space="preserve"> A., Lave R., </w:t>
      </w:r>
      <w:proofErr w:type="spellStart"/>
      <w:r w:rsidRPr="00E12E06">
        <w:rPr>
          <w:szCs w:val="22"/>
          <w:lang w:eastAsia="en-GB"/>
        </w:rPr>
        <w:t>Muhar</w:t>
      </w:r>
      <w:proofErr w:type="spellEnd"/>
      <w:r w:rsidRPr="00E12E06">
        <w:rPr>
          <w:szCs w:val="22"/>
          <w:lang w:eastAsia="en-GB"/>
        </w:rPr>
        <w:t xml:space="preserve"> S., </w:t>
      </w:r>
      <w:proofErr w:type="spellStart"/>
      <w:r w:rsidRPr="00E12E06">
        <w:rPr>
          <w:szCs w:val="22"/>
          <w:lang w:eastAsia="en-GB"/>
        </w:rPr>
        <w:t>Penker</w:t>
      </w:r>
      <w:proofErr w:type="spellEnd"/>
      <w:r w:rsidRPr="00E12E06">
        <w:rPr>
          <w:szCs w:val="22"/>
          <w:lang w:eastAsia="en-GB"/>
        </w:rPr>
        <w:t xml:space="preserve"> M., </w:t>
      </w:r>
      <w:proofErr w:type="spellStart"/>
      <w:r w:rsidRPr="00E12E06">
        <w:rPr>
          <w:szCs w:val="22"/>
          <w:lang w:eastAsia="en-GB"/>
        </w:rPr>
        <w:t>Riben</w:t>
      </w:r>
      <w:proofErr w:type="spellEnd"/>
      <w:r w:rsidRPr="00E12E06">
        <w:rPr>
          <w:szCs w:val="22"/>
          <w:lang w:eastAsia="en-GB"/>
        </w:rPr>
        <w:t xml:space="preserve"> R.G., </w:t>
      </w:r>
      <w:proofErr w:type="spellStart"/>
      <w:r w:rsidRPr="00E12E06">
        <w:rPr>
          <w:szCs w:val="22"/>
          <w:lang w:eastAsia="en-GB"/>
        </w:rPr>
        <w:t>Schauppenlehner</w:t>
      </w:r>
      <w:proofErr w:type="spellEnd"/>
      <w:r w:rsidRPr="00E12E06">
        <w:rPr>
          <w:szCs w:val="22"/>
          <w:lang w:eastAsia="en-GB"/>
        </w:rPr>
        <w:t xml:space="preserve"> T., </w:t>
      </w:r>
      <w:proofErr w:type="spellStart"/>
      <w:r w:rsidRPr="00E12E06">
        <w:rPr>
          <w:szCs w:val="22"/>
          <w:lang w:eastAsia="en-GB"/>
        </w:rPr>
        <w:t>Sikor</w:t>
      </w:r>
      <w:proofErr w:type="spellEnd"/>
      <w:r w:rsidRPr="00E12E06">
        <w:rPr>
          <w:szCs w:val="22"/>
          <w:lang w:eastAsia="en-GB"/>
        </w:rPr>
        <w:t xml:space="preserve"> T., </w:t>
      </w:r>
      <w:proofErr w:type="spellStart"/>
      <w:r w:rsidRPr="00E12E06">
        <w:rPr>
          <w:szCs w:val="22"/>
          <w:lang w:eastAsia="en-GB"/>
        </w:rPr>
        <w:t>Soloviy</w:t>
      </w:r>
      <w:proofErr w:type="spellEnd"/>
      <w:r w:rsidRPr="00E12E06">
        <w:rPr>
          <w:szCs w:val="22"/>
          <w:lang w:eastAsia="en-GB"/>
        </w:rPr>
        <w:t xml:space="preserve"> I., </w:t>
      </w:r>
      <w:proofErr w:type="spellStart"/>
      <w:r w:rsidRPr="00E12E06">
        <w:rPr>
          <w:szCs w:val="22"/>
          <w:lang w:eastAsia="en-GB"/>
        </w:rPr>
        <w:t>Spierenburg</w:t>
      </w:r>
      <w:proofErr w:type="spellEnd"/>
      <w:r w:rsidRPr="00E12E06">
        <w:rPr>
          <w:szCs w:val="22"/>
          <w:lang w:eastAsia="en-GB"/>
        </w:rPr>
        <w:t xml:space="preserve"> M., </w:t>
      </w:r>
      <w:proofErr w:type="spellStart"/>
      <w:r w:rsidRPr="00E12E06">
        <w:rPr>
          <w:szCs w:val="22"/>
          <w:lang w:eastAsia="en-GB"/>
        </w:rPr>
        <w:t>Taczanowska</w:t>
      </w:r>
      <w:proofErr w:type="spellEnd"/>
      <w:r w:rsidRPr="00E12E06">
        <w:rPr>
          <w:szCs w:val="22"/>
          <w:lang w:eastAsia="en-GB"/>
        </w:rPr>
        <w:t xml:space="preserve"> K., Tam J., and von der Dunk A. 2012. Contributions of cultural services to the ecosystem services agenda. PNAS 109(23): 8812-8819</w:t>
      </w:r>
    </w:p>
    <w:p w:rsidR="00935FB7" w:rsidRPr="00E12E06" w:rsidRDefault="00935FB7" w:rsidP="00CF681C">
      <w:pPr>
        <w:spacing w:after="120" w:line="360" w:lineRule="auto"/>
        <w:ind w:left="284" w:hanging="284"/>
        <w:jc w:val="left"/>
        <w:rPr>
          <w:szCs w:val="22"/>
        </w:rPr>
      </w:pPr>
      <w:r w:rsidRPr="00E12E06">
        <w:rPr>
          <w:szCs w:val="22"/>
        </w:rPr>
        <w:t xml:space="preserve">DEFRA. 2007. June Survey of Agriculture and Horticulture. Local Authority Datasets. </w:t>
      </w:r>
      <w:hyperlink r:id="rId11" w:history="1">
        <w:r w:rsidRPr="00E12E06">
          <w:rPr>
            <w:rStyle w:val="Hyperlink"/>
            <w:color w:val="auto"/>
            <w:szCs w:val="22"/>
          </w:rPr>
          <w:t>http://www.defra.gov.uk/evidence/statistics/foodfarm/landuselivestock/junesurvey/results.htm</w:t>
        </w:r>
      </w:hyperlink>
      <w:r w:rsidRPr="00E12E06">
        <w:rPr>
          <w:szCs w:val="22"/>
        </w:rPr>
        <w:t xml:space="preserve"> Accessed 4 October 2010</w:t>
      </w:r>
    </w:p>
    <w:p w:rsidR="00935FB7" w:rsidRPr="00E12E06" w:rsidRDefault="00935FB7" w:rsidP="00CF681C">
      <w:pPr>
        <w:spacing w:after="120" w:line="360" w:lineRule="auto"/>
        <w:ind w:left="284" w:hanging="284"/>
        <w:jc w:val="left"/>
        <w:rPr>
          <w:szCs w:val="22"/>
        </w:rPr>
      </w:pPr>
      <w:r w:rsidRPr="00E12E06">
        <w:rPr>
          <w:szCs w:val="22"/>
        </w:rPr>
        <w:t xml:space="preserve">DEFRA. 2008. Maps and Tables of Sensitive Areas </w:t>
      </w:r>
      <w:hyperlink r:id="rId12" w:history="1">
        <w:r w:rsidRPr="00E12E06">
          <w:rPr>
            <w:rStyle w:val="Hyperlink"/>
            <w:color w:val="auto"/>
            <w:szCs w:val="22"/>
          </w:rPr>
          <w:t>http://www.defra.gov.uk/environment/quality/water/waterquality/sewage/sensarea/regional.htm</w:t>
        </w:r>
      </w:hyperlink>
      <w:r w:rsidRPr="00E12E06">
        <w:rPr>
          <w:szCs w:val="22"/>
        </w:rPr>
        <w:t xml:space="preserve">  Accessed 10 December 2010</w:t>
      </w:r>
    </w:p>
    <w:p w:rsidR="00935FB7" w:rsidRPr="00E12E06" w:rsidRDefault="00935FB7" w:rsidP="00CF681C">
      <w:pPr>
        <w:spacing w:after="120" w:line="360" w:lineRule="auto"/>
        <w:ind w:left="284" w:hanging="284"/>
        <w:jc w:val="left"/>
        <w:rPr>
          <w:szCs w:val="22"/>
        </w:rPr>
      </w:pPr>
      <w:r w:rsidRPr="00E12E06">
        <w:rPr>
          <w:szCs w:val="22"/>
        </w:rPr>
        <w:lastRenderedPageBreak/>
        <w:t xml:space="preserve">DEFRA. 2010. Nitrate Vulnerable Zones  </w:t>
      </w:r>
      <w:hyperlink r:id="rId13" w:history="1">
        <w:r w:rsidRPr="00E12E06">
          <w:rPr>
            <w:rStyle w:val="Hyperlink"/>
            <w:color w:val="auto"/>
            <w:szCs w:val="22"/>
          </w:rPr>
          <w:t>http://www.defra.gov.uk/environment/quality/water/waterquality/diffuse/nitrate/nvz2008.htm</w:t>
        </w:r>
      </w:hyperlink>
      <w:r w:rsidRPr="00E12E06">
        <w:rPr>
          <w:szCs w:val="22"/>
        </w:rPr>
        <w:t xml:space="preserve"> Accessed 13 December 2010</w:t>
      </w:r>
    </w:p>
    <w:p w:rsidR="00935FB7" w:rsidRPr="00E12E06" w:rsidRDefault="00935FB7" w:rsidP="00CF681C">
      <w:pPr>
        <w:autoSpaceDE w:val="0"/>
        <w:autoSpaceDN w:val="0"/>
        <w:adjustRightInd w:val="0"/>
        <w:spacing w:after="120" w:line="360" w:lineRule="auto"/>
        <w:ind w:left="284" w:hanging="284"/>
        <w:jc w:val="left"/>
        <w:rPr>
          <w:rFonts w:eastAsia="Calibri"/>
          <w:szCs w:val="22"/>
          <w:lang w:eastAsia="en-GB"/>
        </w:rPr>
      </w:pPr>
      <w:r w:rsidRPr="00E12E06">
        <w:rPr>
          <w:szCs w:val="22"/>
        </w:rPr>
        <w:t xml:space="preserve">DEFRA. 2010b. </w:t>
      </w:r>
      <w:r w:rsidRPr="00E12E06">
        <w:rPr>
          <w:rFonts w:eastAsia="Calibri"/>
          <w:szCs w:val="22"/>
          <w:lang w:eastAsia="en-GB"/>
        </w:rPr>
        <w:t xml:space="preserve">Eel Management plans for the United Kingdom South West River Basin District. March 2010. </w:t>
      </w:r>
      <w:r w:rsidRPr="00E12E06">
        <w:rPr>
          <w:szCs w:val="22"/>
        </w:rPr>
        <w:t>Department for the Environment, Food and Rural Affairs. 37pp</w:t>
      </w:r>
    </w:p>
    <w:p w:rsidR="00935FB7" w:rsidRPr="00E12E06" w:rsidRDefault="00935FB7" w:rsidP="00CF681C">
      <w:pPr>
        <w:autoSpaceDE w:val="0"/>
        <w:autoSpaceDN w:val="0"/>
        <w:adjustRightInd w:val="0"/>
        <w:spacing w:after="120" w:line="360" w:lineRule="auto"/>
        <w:ind w:left="284" w:hanging="284"/>
        <w:jc w:val="left"/>
        <w:rPr>
          <w:rFonts w:eastAsia="Calibri"/>
          <w:szCs w:val="22"/>
          <w:lang w:eastAsia="en-GB"/>
        </w:rPr>
      </w:pPr>
      <w:r w:rsidRPr="00E12E06">
        <w:rPr>
          <w:rFonts w:eastAsia="Calibri"/>
          <w:szCs w:val="22"/>
          <w:lang w:eastAsia="en-GB"/>
        </w:rPr>
        <w:t>Devon County Council. 2006a. Barnstaple Devon Town Baseline Profile. May 2006. 34pp</w:t>
      </w:r>
    </w:p>
    <w:p w:rsidR="00935FB7" w:rsidRPr="00E12E06" w:rsidRDefault="00935FB7" w:rsidP="00CF681C">
      <w:pPr>
        <w:autoSpaceDE w:val="0"/>
        <w:autoSpaceDN w:val="0"/>
        <w:adjustRightInd w:val="0"/>
        <w:spacing w:after="120" w:line="360" w:lineRule="auto"/>
        <w:ind w:left="284" w:hanging="284"/>
        <w:jc w:val="left"/>
        <w:rPr>
          <w:rFonts w:eastAsia="Calibri"/>
          <w:szCs w:val="22"/>
          <w:lang w:eastAsia="en-GB"/>
        </w:rPr>
      </w:pPr>
      <w:r w:rsidRPr="00E12E06">
        <w:rPr>
          <w:rFonts w:eastAsia="Calibri"/>
          <w:szCs w:val="22"/>
          <w:lang w:eastAsia="en-GB"/>
        </w:rPr>
        <w:t>Devon County Council. 2006b. Bideford Devon Town Baseline Profile. May 2006. 34pp</w:t>
      </w:r>
    </w:p>
    <w:p w:rsidR="00935FB7" w:rsidRPr="00E12E06" w:rsidRDefault="00935FB7" w:rsidP="00CF681C">
      <w:pPr>
        <w:autoSpaceDE w:val="0"/>
        <w:autoSpaceDN w:val="0"/>
        <w:adjustRightInd w:val="0"/>
        <w:spacing w:after="120" w:line="360" w:lineRule="auto"/>
        <w:ind w:left="284" w:hanging="284"/>
        <w:jc w:val="left"/>
        <w:rPr>
          <w:szCs w:val="22"/>
        </w:rPr>
      </w:pPr>
      <w:r w:rsidRPr="00E12E06">
        <w:rPr>
          <w:szCs w:val="22"/>
        </w:rPr>
        <w:t>Environment Agency. 2011. Flood Map</w:t>
      </w:r>
      <w:r w:rsidR="00DD19C6" w:rsidRPr="00E12E06">
        <w:rPr>
          <w:szCs w:val="22"/>
        </w:rPr>
        <w:t xml:space="preserve">. </w:t>
      </w:r>
      <w:hyperlink r:id="rId14" w:anchor="x=311631&amp;y=113634&amp;lg=1,&amp;scale=4" w:history="1">
        <w:r w:rsidRPr="00E12E06">
          <w:rPr>
            <w:rStyle w:val="Hyperlink"/>
            <w:color w:val="auto"/>
            <w:szCs w:val="22"/>
          </w:rPr>
          <w:t>http://maps.environment-agency.gov.uk/wiyby/wiybyController?x=531500.0&amp;y=181500.0&amp;topic=floodmap&amp;ep=map&amp;scale=3&amp;location=London,%20City%20of%20London&amp;lang=_e&amp;layerGroups=default&amp;textonly=off#x=311631&amp;y=113634&amp;lg=1,&amp;scale=4</w:t>
        </w:r>
      </w:hyperlink>
      <w:r w:rsidR="00DD19C6" w:rsidRPr="00E12E06">
        <w:rPr>
          <w:szCs w:val="22"/>
        </w:rPr>
        <w:t xml:space="preserve">. </w:t>
      </w:r>
      <w:r w:rsidRPr="00E12E06">
        <w:rPr>
          <w:szCs w:val="22"/>
        </w:rPr>
        <w:t>Accessed 4 February 2011.</w:t>
      </w:r>
    </w:p>
    <w:p w:rsidR="00935FB7" w:rsidRPr="00E12E06" w:rsidRDefault="00935FB7" w:rsidP="00CF681C">
      <w:pPr>
        <w:autoSpaceDE w:val="0"/>
        <w:autoSpaceDN w:val="0"/>
        <w:adjustRightInd w:val="0"/>
        <w:spacing w:after="120" w:line="360" w:lineRule="auto"/>
        <w:ind w:left="284" w:hanging="284"/>
        <w:jc w:val="left"/>
        <w:rPr>
          <w:rFonts w:eastAsia="Calibri"/>
          <w:szCs w:val="22"/>
          <w:lang w:eastAsia="en-GB"/>
        </w:rPr>
      </w:pPr>
      <w:r w:rsidRPr="00E12E06">
        <w:rPr>
          <w:rFonts w:eastAsia="Calibri"/>
          <w:szCs w:val="22"/>
          <w:lang w:eastAsia="en-GB"/>
        </w:rPr>
        <w:t>Environment Agency 2010</w:t>
      </w:r>
      <w:r w:rsidR="00DD19C6" w:rsidRPr="00E12E06">
        <w:rPr>
          <w:rFonts w:eastAsia="Calibri"/>
          <w:szCs w:val="22"/>
          <w:lang w:eastAsia="en-GB"/>
        </w:rPr>
        <w:t xml:space="preserve">. </w:t>
      </w:r>
      <w:r w:rsidRPr="00E12E06">
        <w:rPr>
          <w:rFonts w:eastAsia="Calibri"/>
          <w:szCs w:val="22"/>
          <w:lang w:eastAsia="en-GB"/>
        </w:rPr>
        <w:t xml:space="preserve">Bathing Waters. </w:t>
      </w:r>
      <w:hyperlink r:id="rId15" w:anchor="x=474682&amp;y=225726&amp;lg=1,&amp;scale=1" w:history="1">
        <w:r w:rsidRPr="00E12E06">
          <w:rPr>
            <w:rStyle w:val="Hyperlink"/>
            <w:rFonts w:eastAsia="Calibri"/>
            <w:color w:val="auto"/>
            <w:szCs w:val="22"/>
            <w:lang w:eastAsia="en-GB"/>
          </w:rPr>
          <w:t>http://maps.environment-agency.gov.uk/wiyby/wiybyController?x=357683.0&amp;y=355134.0&amp;scale=1&amp;layerGroups=default&amp;ep=map&amp;textonly=off&amp;lang=_e&amp;topic=coastalwaters#x=474682&amp;y=225726&amp;lg=1,&amp;scale=1</w:t>
        </w:r>
      </w:hyperlink>
      <w:r w:rsidRPr="00E12E06">
        <w:rPr>
          <w:rFonts w:eastAsia="Calibri"/>
          <w:szCs w:val="22"/>
          <w:lang w:eastAsia="en-GB"/>
        </w:rPr>
        <w:t xml:space="preserve">  Accessed 25 October 2010</w:t>
      </w:r>
    </w:p>
    <w:p w:rsidR="00935FB7" w:rsidRPr="00E12E06" w:rsidRDefault="00935FB7" w:rsidP="00CF681C">
      <w:pPr>
        <w:autoSpaceDE w:val="0"/>
        <w:autoSpaceDN w:val="0"/>
        <w:adjustRightInd w:val="0"/>
        <w:spacing w:after="120" w:line="360" w:lineRule="auto"/>
        <w:ind w:left="284" w:hanging="284"/>
        <w:jc w:val="left"/>
        <w:rPr>
          <w:rFonts w:eastAsia="Calibri"/>
          <w:szCs w:val="22"/>
          <w:lang w:eastAsia="en-GB"/>
        </w:rPr>
      </w:pPr>
      <w:r w:rsidRPr="00E12E06">
        <w:rPr>
          <w:rFonts w:eastAsia="Calibri"/>
          <w:szCs w:val="22"/>
          <w:lang w:eastAsia="en-GB"/>
        </w:rPr>
        <w:t>Environment Agency. 2009. North Devon Catchment Flood Management Plan. Summary Report December 2009. 28pp</w:t>
      </w:r>
    </w:p>
    <w:p w:rsidR="00935FB7" w:rsidRPr="00E12E06" w:rsidRDefault="00935FB7" w:rsidP="00CF681C">
      <w:pPr>
        <w:spacing w:after="120" w:line="360" w:lineRule="auto"/>
        <w:ind w:left="284" w:hanging="284"/>
        <w:jc w:val="left"/>
      </w:pPr>
      <w:r w:rsidRPr="00E12E06">
        <w:rPr>
          <w:rFonts w:eastAsia="Calibri"/>
          <w:szCs w:val="22"/>
          <w:lang w:eastAsia="en-GB"/>
        </w:rPr>
        <w:t>Environment Agency. 2009b. Fisheries Statistics Report 2008. Salmonid and freshwater fisheries statistics for England and Wales, 2008. Declared catches of salmon and sea trout by rods, nets and other instruments. Environment Agency, Bristol. 38pp</w:t>
      </w:r>
    </w:p>
    <w:p w:rsidR="00935FB7" w:rsidRPr="00E12E06" w:rsidRDefault="00935FB7" w:rsidP="00CF681C">
      <w:pPr>
        <w:autoSpaceDE w:val="0"/>
        <w:autoSpaceDN w:val="0"/>
        <w:adjustRightInd w:val="0"/>
        <w:spacing w:after="120" w:line="360" w:lineRule="auto"/>
        <w:ind w:left="284" w:hanging="284"/>
        <w:jc w:val="left"/>
        <w:rPr>
          <w:rFonts w:eastAsia="Calibri"/>
          <w:szCs w:val="22"/>
          <w:lang w:eastAsia="en-GB"/>
        </w:rPr>
      </w:pPr>
      <w:r w:rsidRPr="00E12E06">
        <w:rPr>
          <w:rFonts w:eastAsia="Calibri"/>
          <w:szCs w:val="22"/>
          <w:lang w:eastAsia="en-GB"/>
        </w:rPr>
        <w:t>Environment Agency 2008. North Devon Catchment Flood Management Plan. December 2008. Environment Agency, Bristol. 321pp</w:t>
      </w:r>
    </w:p>
    <w:p w:rsidR="00935FB7" w:rsidRPr="00E12E06" w:rsidRDefault="00935FB7" w:rsidP="00CF681C">
      <w:pPr>
        <w:autoSpaceDE w:val="0"/>
        <w:autoSpaceDN w:val="0"/>
        <w:adjustRightInd w:val="0"/>
        <w:spacing w:after="120" w:line="360" w:lineRule="auto"/>
        <w:ind w:left="284" w:hanging="284"/>
        <w:jc w:val="left"/>
        <w:rPr>
          <w:rFonts w:eastAsia="Calibri"/>
          <w:bCs/>
          <w:szCs w:val="22"/>
          <w:lang w:eastAsia="en-GB"/>
        </w:rPr>
      </w:pPr>
      <w:r w:rsidRPr="00E12E06">
        <w:rPr>
          <w:rFonts w:eastAsia="Calibri"/>
          <w:szCs w:val="22"/>
          <w:lang w:eastAsia="en-GB"/>
        </w:rPr>
        <w:t xml:space="preserve">Environment Agency. 2002. Scoping guidelines on the Environmental Impact Assessment (EIA) of projects. </w:t>
      </w:r>
      <w:r w:rsidRPr="00E12E06">
        <w:rPr>
          <w:rFonts w:eastAsia="Calibri"/>
          <w:bCs/>
          <w:szCs w:val="22"/>
          <w:lang w:eastAsia="en-GB"/>
        </w:rPr>
        <w:t>I6: Tidal power developments</w:t>
      </w:r>
      <w:r w:rsidR="00DD19C6" w:rsidRPr="00E12E06">
        <w:rPr>
          <w:rFonts w:eastAsia="Calibri"/>
          <w:bCs/>
          <w:szCs w:val="22"/>
          <w:lang w:eastAsia="en-GB"/>
        </w:rPr>
        <w:t xml:space="preserve">. </w:t>
      </w:r>
      <w:r w:rsidRPr="00E12E06">
        <w:rPr>
          <w:rFonts w:eastAsia="Calibri"/>
          <w:bCs/>
          <w:szCs w:val="22"/>
          <w:lang w:eastAsia="en-GB"/>
        </w:rPr>
        <w:t>19pp</w:t>
      </w:r>
    </w:p>
    <w:p w:rsidR="00935FB7" w:rsidRPr="00E12E06" w:rsidRDefault="00935FB7" w:rsidP="00CF681C">
      <w:pPr>
        <w:autoSpaceDE w:val="0"/>
        <w:autoSpaceDN w:val="0"/>
        <w:adjustRightInd w:val="0"/>
        <w:spacing w:after="120" w:line="360" w:lineRule="auto"/>
        <w:ind w:left="284" w:hanging="284"/>
        <w:jc w:val="left"/>
        <w:rPr>
          <w:szCs w:val="22"/>
        </w:rPr>
      </w:pPr>
      <w:r w:rsidRPr="00E12E06">
        <w:rPr>
          <w:szCs w:val="22"/>
        </w:rPr>
        <w:t>Farr G. 1976. Shipbuilding in North Devon. Maritime Monographs and Reports No.22. National Maritime Museum. Greenwich, London. 73pp</w:t>
      </w:r>
    </w:p>
    <w:p w:rsidR="00935FB7" w:rsidRPr="00E12E06" w:rsidRDefault="00935FB7" w:rsidP="00CF681C">
      <w:pPr>
        <w:spacing w:after="120" w:line="360" w:lineRule="auto"/>
        <w:ind w:left="284" w:hanging="284"/>
        <w:jc w:val="left"/>
      </w:pPr>
      <w:r w:rsidRPr="00E12E06">
        <w:t>Fisher B and Turner R.K. 2008. Ecosystem services: Classification for valuation</w:t>
      </w:r>
      <w:r w:rsidR="00DD19C6" w:rsidRPr="00E12E06">
        <w:t xml:space="preserve">. </w:t>
      </w:r>
      <w:r w:rsidRPr="00E12E06">
        <w:t>Biol</w:t>
      </w:r>
      <w:r w:rsidR="00843895">
        <w:t>.</w:t>
      </w:r>
      <w:r w:rsidRPr="00E12E06">
        <w:t xml:space="preserve"> </w:t>
      </w:r>
      <w:proofErr w:type="spellStart"/>
      <w:r w:rsidRPr="00E12E06">
        <w:t>Conserv</w:t>
      </w:r>
      <w:proofErr w:type="spellEnd"/>
      <w:r w:rsidR="00843895">
        <w:t>.</w:t>
      </w:r>
      <w:r w:rsidRPr="00E12E06">
        <w:t xml:space="preserve"> 141: 1167-1169</w:t>
      </w:r>
    </w:p>
    <w:p w:rsidR="00935FB7" w:rsidRPr="00E12E06" w:rsidRDefault="00935FB7" w:rsidP="00CF681C">
      <w:pPr>
        <w:autoSpaceDE w:val="0"/>
        <w:autoSpaceDN w:val="0"/>
        <w:adjustRightInd w:val="0"/>
        <w:spacing w:after="120" w:line="360" w:lineRule="auto"/>
        <w:ind w:left="284" w:hanging="284"/>
        <w:jc w:val="left"/>
      </w:pPr>
      <w:r w:rsidRPr="00E12E06">
        <w:t xml:space="preserve">Fisher B, Turner K, </w:t>
      </w:r>
      <w:proofErr w:type="spellStart"/>
      <w:r w:rsidRPr="00E12E06">
        <w:t>Zylstra</w:t>
      </w:r>
      <w:proofErr w:type="spellEnd"/>
      <w:r w:rsidRPr="00E12E06">
        <w:t xml:space="preserve"> M, </w:t>
      </w:r>
      <w:proofErr w:type="spellStart"/>
      <w:r w:rsidRPr="00E12E06">
        <w:t>Brouwer</w:t>
      </w:r>
      <w:proofErr w:type="spellEnd"/>
      <w:r w:rsidRPr="00E12E06">
        <w:t xml:space="preserve"> R, de Groot R, Farber S, Ferraro P, Green R, Hadley D, Harlow J, </w:t>
      </w:r>
      <w:proofErr w:type="spellStart"/>
      <w:r w:rsidRPr="00E12E06">
        <w:t>Jefferiss</w:t>
      </w:r>
      <w:proofErr w:type="spellEnd"/>
      <w:r w:rsidRPr="00E12E06">
        <w:t xml:space="preserve"> P, Kirkby C, </w:t>
      </w:r>
      <w:proofErr w:type="spellStart"/>
      <w:r w:rsidRPr="00E12E06">
        <w:t>Morling</w:t>
      </w:r>
      <w:proofErr w:type="spellEnd"/>
      <w:r w:rsidRPr="00E12E06">
        <w:t xml:space="preserve"> P, </w:t>
      </w:r>
      <w:proofErr w:type="spellStart"/>
      <w:r w:rsidRPr="00E12E06">
        <w:t>Mowatt</w:t>
      </w:r>
      <w:proofErr w:type="spellEnd"/>
      <w:r w:rsidRPr="00E12E06">
        <w:t xml:space="preserve"> S, Naidoo R, Paavola J, </w:t>
      </w:r>
      <w:proofErr w:type="spellStart"/>
      <w:r w:rsidRPr="00E12E06">
        <w:t>Strassburg</w:t>
      </w:r>
      <w:proofErr w:type="spellEnd"/>
      <w:r w:rsidRPr="00E12E06">
        <w:t xml:space="preserve"> B, Yu D, and </w:t>
      </w:r>
      <w:proofErr w:type="spellStart"/>
      <w:r w:rsidRPr="00E12E06">
        <w:t>Balmford</w:t>
      </w:r>
      <w:proofErr w:type="spellEnd"/>
      <w:r w:rsidRPr="00E12E06">
        <w:t xml:space="preserve"> A. 2008. Ecosystem services and economic theory: Integration for policy-relevant research. Ecol</w:t>
      </w:r>
      <w:r w:rsidR="00843895">
        <w:t>. Appl.</w:t>
      </w:r>
      <w:r w:rsidRPr="00E12E06">
        <w:t xml:space="preserve"> 18(8): 2050–2067</w:t>
      </w:r>
    </w:p>
    <w:p w:rsidR="00935FB7" w:rsidRPr="00E12E06" w:rsidRDefault="00935FB7" w:rsidP="00CF681C">
      <w:pPr>
        <w:spacing w:after="120" w:line="360" w:lineRule="auto"/>
        <w:ind w:left="284" w:hanging="284"/>
        <w:jc w:val="left"/>
        <w:rPr>
          <w:color w:val="231F20"/>
        </w:rPr>
      </w:pPr>
      <w:r w:rsidRPr="00E12E06">
        <w:lastRenderedPageBreak/>
        <w:t xml:space="preserve">Fisher B, Turner R.K and </w:t>
      </w:r>
      <w:proofErr w:type="spellStart"/>
      <w:r w:rsidRPr="00E12E06">
        <w:t>Morling</w:t>
      </w:r>
      <w:proofErr w:type="spellEnd"/>
      <w:r w:rsidRPr="00E12E06">
        <w:t xml:space="preserve"> P. 2009. </w:t>
      </w:r>
      <w:r w:rsidRPr="00E12E06">
        <w:rPr>
          <w:color w:val="231F20"/>
        </w:rPr>
        <w:t>Defining and classifying ecosystem services for decision making</w:t>
      </w:r>
      <w:r w:rsidR="00DD19C6" w:rsidRPr="00E12E06">
        <w:rPr>
          <w:color w:val="231F20"/>
        </w:rPr>
        <w:t xml:space="preserve">. </w:t>
      </w:r>
      <w:r w:rsidR="00843895">
        <w:rPr>
          <w:color w:val="231F20"/>
        </w:rPr>
        <w:t>Ecol. Econ.</w:t>
      </w:r>
      <w:r w:rsidRPr="00E12E06">
        <w:rPr>
          <w:color w:val="231F20"/>
        </w:rPr>
        <w:t xml:space="preserve"> 68: 643-653.</w:t>
      </w:r>
    </w:p>
    <w:p w:rsidR="00935FB7" w:rsidRPr="00E12E06" w:rsidRDefault="00935FB7" w:rsidP="00CF681C">
      <w:pPr>
        <w:autoSpaceDE w:val="0"/>
        <w:autoSpaceDN w:val="0"/>
        <w:adjustRightInd w:val="0"/>
        <w:spacing w:after="120" w:line="360" w:lineRule="auto"/>
        <w:ind w:left="284" w:hanging="284"/>
        <w:jc w:val="left"/>
        <w:rPr>
          <w:rFonts w:eastAsia="Calibri"/>
          <w:szCs w:val="22"/>
          <w:lang w:eastAsia="en-GB"/>
        </w:rPr>
      </w:pPr>
      <w:r w:rsidRPr="00E12E06">
        <w:rPr>
          <w:rFonts w:eastAsia="Calibri"/>
          <w:bCs/>
          <w:szCs w:val="22"/>
          <w:lang w:eastAsia="en-GB"/>
        </w:rPr>
        <w:t>Food Standards Agency. 2010. Designated Bivalve Mollusc Production Areas in England and Wales. Effective From 1 September 2010</w:t>
      </w:r>
      <w:r w:rsidR="00DD19C6" w:rsidRPr="00E12E06">
        <w:rPr>
          <w:rFonts w:eastAsia="Calibri"/>
          <w:bCs/>
          <w:szCs w:val="22"/>
          <w:lang w:eastAsia="en-GB"/>
        </w:rPr>
        <w:t xml:space="preserve">. </w:t>
      </w:r>
      <w:r w:rsidRPr="00E12E06">
        <w:rPr>
          <w:rFonts w:eastAsia="Calibri"/>
          <w:bCs/>
          <w:szCs w:val="22"/>
          <w:lang w:eastAsia="en-GB"/>
        </w:rPr>
        <w:t xml:space="preserve">Food Standards Agency. </w:t>
      </w:r>
      <w:hyperlink r:id="rId16" w:history="1">
        <w:r w:rsidRPr="00E12E06">
          <w:rPr>
            <w:rStyle w:val="Hyperlink"/>
            <w:rFonts w:eastAsia="Calibri"/>
            <w:bCs/>
            <w:color w:val="auto"/>
            <w:szCs w:val="22"/>
            <w:lang w:eastAsia="en-GB"/>
          </w:rPr>
          <w:t>http://www.food.gov.uk/foodindustry/farmingfood/shellfish/shellharvestareas/shellclassew201011</w:t>
        </w:r>
      </w:hyperlink>
      <w:r w:rsidRPr="00E12E06">
        <w:rPr>
          <w:rFonts w:eastAsia="Calibri"/>
          <w:bCs/>
          <w:szCs w:val="22"/>
          <w:lang w:eastAsia="en-GB"/>
        </w:rPr>
        <w:t xml:space="preserve"> Accessed 21 September 2010</w:t>
      </w:r>
    </w:p>
    <w:p w:rsidR="00935FB7" w:rsidRPr="00E12E06" w:rsidRDefault="00935FB7" w:rsidP="00CF681C">
      <w:pPr>
        <w:autoSpaceDE w:val="0"/>
        <w:autoSpaceDN w:val="0"/>
        <w:adjustRightInd w:val="0"/>
        <w:spacing w:after="120" w:line="360" w:lineRule="auto"/>
        <w:ind w:left="284" w:hanging="284"/>
        <w:jc w:val="left"/>
      </w:pPr>
      <w:proofErr w:type="spellStart"/>
      <w:r w:rsidRPr="00E12E06">
        <w:t>Granek</w:t>
      </w:r>
      <w:proofErr w:type="spellEnd"/>
      <w:r w:rsidRPr="00E12E06">
        <w:t xml:space="preserve"> E.F., </w:t>
      </w:r>
      <w:proofErr w:type="spellStart"/>
      <w:r w:rsidRPr="00E12E06">
        <w:t>Polasky</w:t>
      </w:r>
      <w:proofErr w:type="spellEnd"/>
      <w:r w:rsidRPr="00E12E06">
        <w:t xml:space="preserve"> S, </w:t>
      </w:r>
      <w:proofErr w:type="spellStart"/>
      <w:r w:rsidRPr="00E12E06">
        <w:t>Kappel</w:t>
      </w:r>
      <w:proofErr w:type="spellEnd"/>
      <w:r w:rsidRPr="00E12E06">
        <w:t xml:space="preserve"> C.V., Reed D.J., </w:t>
      </w:r>
      <w:proofErr w:type="spellStart"/>
      <w:r w:rsidRPr="00E12E06">
        <w:t>Stoms</w:t>
      </w:r>
      <w:proofErr w:type="spellEnd"/>
      <w:r w:rsidRPr="00E12E06">
        <w:t xml:space="preserve"> D.M., Koch E.W., Kennedy C.J., Cramer L.A., Hacker S.D., </w:t>
      </w:r>
      <w:proofErr w:type="spellStart"/>
      <w:r w:rsidRPr="00E12E06">
        <w:t>Barbier</w:t>
      </w:r>
      <w:proofErr w:type="spellEnd"/>
      <w:r w:rsidRPr="00E12E06">
        <w:t xml:space="preserve"> E.B., </w:t>
      </w:r>
      <w:proofErr w:type="spellStart"/>
      <w:r w:rsidRPr="00E12E06">
        <w:t>Aswani</w:t>
      </w:r>
      <w:proofErr w:type="spellEnd"/>
      <w:r w:rsidRPr="00E12E06">
        <w:t xml:space="preserve"> S, Ruckelshaus M, </w:t>
      </w:r>
      <w:proofErr w:type="spellStart"/>
      <w:r w:rsidRPr="00E12E06">
        <w:t>Perillo</w:t>
      </w:r>
      <w:proofErr w:type="spellEnd"/>
      <w:r w:rsidRPr="00E12E06">
        <w:t xml:space="preserve"> G.M.E, Silliman B.R., </w:t>
      </w:r>
      <w:proofErr w:type="spellStart"/>
      <w:r w:rsidRPr="00E12E06">
        <w:t>Muthinga</w:t>
      </w:r>
      <w:proofErr w:type="spellEnd"/>
      <w:r w:rsidRPr="00E12E06">
        <w:t xml:space="preserve"> N., </w:t>
      </w:r>
      <w:proofErr w:type="spellStart"/>
      <w:r w:rsidRPr="00E12E06">
        <w:t>Bael</w:t>
      </w:r>
      <w:proofErr w:type="spellEnd"/>
      <w:r w:rsidRPr="00E12E06">
        <w:t xml:space="preserve"> D and </w:t>
      </w:r>
      <w:proofErr w:type="spellStart"/>
      <w:r w:rsidRPr="00E12E06">
        <w:t>Wolanski</w:t>
      </w:r>
      <w:proofErr w:type="spellEnd"/>
      <w:r w:rsidRPr="00E12E06">
        <w:t xml:space="preserve"> E. 2010. </w:t>
      </w:r>
      <w:r w:rsidRPr="00E12E06">
        <w:rPr>
          <w:bCs/>
          <w:lang w:eastAsia="en-GB"/>
        </w:rPr>
        <w:t>Ecosystem Services as a Common Language for Coastal Ecosystem-Based Management.</w:t>
      </w:r>
      <w:r w:rsidRPr="00E12E06">
        <w:rPr>
          <w:rFonts w:ascii="Garamond-BoldCondensed" w:hAnsi="Garamond-BoldCondensed" w:cs="Garamond-BoldCondensed"/>
          <w:bCs/>
          <w:sz w:val="48"/>
          <w:szCs w:val="48"/>
          <w:lang w:eastAsia="en-GB"/>
        </w:rPr>
        <w:t xml:space="preserve"> </w:t>
      </w:r>
      <w:proofErr w:type="spellStart"/>
      <w:r w:rsidR="00843895">
        <w:t>Conserv</w:t>
      </w:r>
      <w:proofErr w:type="spellEnd"/>
      <w:r w:rsidR="00843895">
        <w:t>. Biol.</w:t>
      </w:r>
      <w:r w:rsidRPr="00E12E06">
        <w:t xml:space="preserve"> 24: 207-216</w:t>
      </w:r>
    </w:p>
    <w:p w:rsidR="00272E11" w:rsidRPr="00E12E06" w:rsidRDefault="00272E11" w:rsidP="00CF681C">
      <w:pPr>
        <w:spacing w:after="120" w:line="360" w:lineRule="auto"/>
        <w:ind w:left="284" w:hanging="284"/>
        <w:jc w:val="left"/>
        <w:rPr>
          <w:lang w:eastAsia="en-GB"/>
        </w:rPr>
      </w:pPr>
      <w:r w:rsidRPr="00E12E06">
        <w:rPr>
          <w:lang w:eastAsia="en-GB"/>
        </w:rPr>
        <w:t>de Groot R. 2006. Function-analysis and valuation as a tool to assess land use conflicts in planning for sustainable, multi-functional landscapes</w:t>
      </w:r>
      <w:r w:rsidR="00DD19C6" w:rsidRPr="00E12E06">
        <w:rPr>
          <w:lang w:eastAsia="en-GB"/>
        </w:rPr>
        <w:t xml:space="preserve">. </w:t>
      </w:r>
      <w:proofErr w:type="spellStart"/>
      <w:r w:rsidR="00843895">
        <w:rPr>
          <w:lang w:eastAsia="en-GB"/>
        </w:rPr>
        <w:t>Landsc</w:t>
      </w:r>
      <w:proofErr w:type="spellEnd"/>
      <w:r w:rsidR="00843895">
        <w:rPr>
          <w:lang w:eastAsia="en-GB"/>
        </w:rPr>
        <w:t>. and Urban Plan.</w:t>
      </w:r>
      <w:r w:rsidRPr="00E12E06">
        <w:rPr>
          <w:lang w:eastAsia="en-GB"/>
        </w:rPr>
        <w:t xml:space="preserve"> 75: 175–186</w:t>
      </w:r>
    </w:p>
    <w:p w:rsidR="00935FB7" w:rsidRPr="00E12E06" w:rsidRDefault="00935FB7" w:rsidP="00CF681C">
      <w:pPr>
        <w:autoSpaceDE w:val="0"/>
        <w:autoSpaceDN w:val="0"/>
        <w:adjustRightInd w:val="0"/>
        <w:spacing w:after="120" w:line="360" w:lineRule="auto"/>
        <w:ind w:left="284" w:hanging="284"/>
        <w:jc w:val="left"/>
        <w:rPr>
          <w:color w:val="000000"/>
          <w:szCs w:val="22"/>
          <w:lang w:eastAsia="en-GB"/>
        </w:rPr>
      </w:pPr>
      <w:r w:rsidRPr="00E12E06">
        <w:rPr>
          <w:szCs w:val="22"/>
        </w:rPr>
        <w:t xml:space="preserve">Haines-Young, R. and </w:t>
      </w:r>
      <w:proofErr w:type="spellStart"/>
      <w:r w:rsidRPr="00E12E06">
        <w:rPr>
          <w:szCs w:val="22"/>
        </w:rPr>
        <w:t>Potschin</w:t>
      </w:r>
      <w:proofErr w:type="spellEnd"/>
      <w:r w:rsidRPr="00E12E06">
        <w:rPr>
          <w:szCs w:val="22"/>
        </w:rPr>
        <w:t xml:space="preserve"> M. 2013</w:t>
      </w:r>
      <w:r w:rsidR="00DD19C6" w:rsidRPr="00E12E06">
        <w:rPr>
          <w:szCs w:val="22"/>
        </w:rPr>
        <w:t xml:space="preserve">. </w:t>
      </w:r>
      <w:r w:rsidRPr="00E12E06">
        <w:rPr>
          <w:bCs/>
          <w:color w:val="000000"/>
          <w:szCs w:val="22"/>
          <w:lang w:eastAsia="en-GB"/>
        </w:rPr>
        <w:t xml:space="preserve">Common International Classification of Ecosystem Services (CICES): Consultation on Version 4, August-December 2012. </w:t>
      </w:r>
      <w:r w:rsidRPr="00E12E06">
        <w:rPr>
          <w:color w:val="000000"/>
          <w:szCs w:val="22"/>
          <w:lang w:eastAsia="en-GB"/>
        </w:rPr>
        <w:t xml:space="preserve">Report to the European Environment Agency </w:t>
      </w:r>
      <w:r w:rsidRPr="00E12E06">
        <w:rPr>
          <w:bCs/>
          <w:color w:val="000000"/>
          <w:szCs w:val="22"/>
          <w:lang w:eastAsia="en-GB"/>
        </w:rPr>
        <w:t xml:space="preserve">EEA Framework Contract No: </w:t>
      </w:r>
      <w:r w:rsidRPr="00E12E06">
        <w:rPr>
          <w:color w:val="000000"/>
          <w:szCs w:val="22"/>
          <w:lang w:eastAsia="en-GB"/>
        </w:rPr>
        <w:t xml:space="preserve">EEA/IEA/09/003. </w:t>
      </w:r>
      <w:r w:rsidRPr="00E12E06">
        <w:rPr>
          <w:iCs/>
          <w:color w:val="000000"/>
          <w:szCs w:val="22"/>
          <w:lang w:eastAsia="en-GB"/>
        </w:rPr>
        <w:t>Revised January 2013. 34pp</w:t>
      </w:r>
    </w:p>
    <w:p w:rsidR="00935FB7" w:rsidRPr="00E12E06" w:rsidRDefault="00935FB7" w:rsidP="00CF681C">
      <w:pPr>
        <w:spacing w:after="120" w:line="360" w:lineRule="auto"/>
        <w:ind w:left="284" w:hanging="284"/>
        <w:jc w:val="left"/>
        <w:rPr>
          <w:rStyle w:val="body1"/>
          <w:rFonts w:ascii="Times New Roman" w:hAnsi="Times New Roman"/>
          <w:color w:val="auto"/>
          <w:sz w:val="22"/>
          <w:szCs w:val="22"/>
        </w:rPr>
      </w:pPr>
      <w:proofErr w:type="spellStart"/>
      <w:r w:rsidRPr="00E12E06">
        <w:rPr>
          <w:rStyle w:val="body1"/>
          <w:rFonts w:ascii="Times New Roman" w:hAnsi="Times New Roman"/>
          <w:color w:val="auto"/>
          <w:sz w:val="22"/>
          <w:szCs w:val="22"/>
        </w:rPr>
        <w:t>Halcrow</w:t>
      </w:r>
      <w:proofErr w:type="spellEnd"/>
      <w:r w:rsidRPr="00E12E06">
        <w:rPr>
          <w:rStyle w:val="body1"/>
          <w:rFonts w:ascii="Times New Roman" w:hAnsi="Times New Roman"/>
          <w:color w:val="auto"/>
          <w:sz w:val="22"/>
          <w:szCs w:val="22"/>
        </w:rPr>
        <w:t xml:space="preserve"> Group Ltd. 2009. Shoreline Management Plan (SMP2). Hartland Point to Anchor Head</w:t>
      </w:r>
      <w:r w:rsidR="00DD19C6" w:rsidRPr="00E12E06">
        <w:rPr>
          <w:rStyle w:val="body1"/>
          <w:rFonts w:ascii="Times New Roman" w:hAnsi="Times New Roman"/>
          <w:color w:val="auto"/>
          <w:sz w:val="22"/>
          <w:szCs w:val="22"/>
        </w:rPr>
        <w:t xml:space="preserve">. </w:t>
      </w:r>
      <w:r w:rsidRPr="00E12E06">
        <w:rPr>
          <w:rStyle w:val="body1"/>
          <w:rFonts w:ascii="Times New Roman" w:hAnsi="Times New Roman"/>
          <w:color w:val="auto"/>
          <w:sz w:val="22"/>
          <w:szCs w:val="22"/>
        </w:rPr>
        <w:t>Report prepared for the North Devon and Somerset Coastal Advisory Group. October 2009.</w:t>
      </w:r>
    </w:p>
    <w:p w:rsidR="00935FB7" w:rsidRPr="00E12E06" w:rsidRDefault="00935FB7" w:rsidP="00CF681C">
      <w:pPr>
        <w:autoSpaceDE w:val="0"/>
        <w:autoSpaceDN w:val="0"/>
        <w:adjustRightInd w:val="0"/>
        <w:spacing w:after="120" w:line="360" w:lineRule="auto"/>
        <w:ind w:left="284" w:hanging="284"/>
        <w:jc w:val="left"/>
        <w:rPr>
          <w:szCs w:val="22"/>
          <w:lang w:eastAsia="en-GB"/>
        </w:rPr>
      </w:pPr>
      <w:r w:rsidRPr="00E12E06">
        <w:rPr>
          <w:szCs w:val="22"/>
          <w:lang w:eastAsia="en-GB"/>
        </w:rPr>
        <w:t xml:space="preserve">Hooper T. and Austen M. 2013. Tidal barrages in the UK: Ecological and social impacts, potential mitigation, and tools to support barrage planning. </w:t>
      </w:r>
      <w:r w:rsidR="00843895">
        <w:rPr>
          <w:szCs w:val="22"/>
          <w:lang w:eastAsia="en-GB"/>
        </w:rPr>
        <w:t>Renew. Sustain. Energy Rev.</w:t>
      </w:r>
      <w:r w:rsidRPr="00E12E06">
        <w:rPr>
          <w:szCs w:val="22"/>
          <w:lang w:eastAsia="en-GB"/>
        </w:rPr>
        <w:t xml:space="preserve"> 23: 289–298</w:t>
      </w:r>
    </w:p>
    <w:p w:rsidR="00935FB7" w:rsidRPr="00E12E06" w:rsidRDefault="00935FB7" w:rsidP="00CF681C">
      <w:pPr>
        <w:pStyle w:val="Default"/>
        <w:spacing w:after="120" w:line="360" w:lineRule="auto"/>
        <w:ind w:left="284" w:hanging="284"/>
        <w:rPr>
          <w:rFonts w:ascii="Times New Roman" w:hAnsi="Times New Roman" w:cs="Times New Roman"/>
          <w:color w:val="auto"/>
          <w:sz w:val="22"/>
          <w:szCs w:val="22"/>
        </w:rPr>
      </w:pPr>
      <w:r w:rsidRPr="00E12E06">
        <w:rPr>
          <w:rFonts w:ascii="Times New Roman" w:hAnsi="Times New Roman" w:cs="Times New Roman"/>
          <w:color w:val="auto"/>
          <w:sz w:val="22"/>
          <w:szCs w:val="22"/>
        </w:rPr>
        <w:t xml:space="preserve">JNCC. 2002. </w:t>
      </w:r>
      <w:proofErr w:type="spellStart"/>
      <w:r w:rsidRPr="00E12E06">
        <w:rPr>
          <w:rFonts w:ascii="Times New Roman" w:hAnsi="Times New Roman" w:cs="Times New Roman"/>
          <w:color w:val="auto"/>
          <w:sz w:val="22"/>
          <w:szCs w:val="22"/>
        </w:rPr>
        <w:t>Braunton</w:t>
      </w:r>
      <w:proofErr w:type="spellEnd"/>
      <w:r w:rsidRPr="00E12E06">
        <w:rPr>
          <w:rFonts w:ascii="Times New Roman" w:hAnsi="Times New Roman" w:cs="Times New Roman"/>
          <w:color w:val="auto"/>
          <w:sz w:val="22"/>
          <w:szCs w:val="22"/>
        </w:rPr>
        <w:t xml:space="preserve"> Burrows Natura 2000 Data Form</w:t>
      </w:r>
      <w:r w:rsidR="00DD19C6" w:rsidRPr="00E12E06">
        <w:rPr>
          <w:rFonts w:ascii="Times New Roman" w:hAnsi="Times New Roman" w:cs="Times New Roman"/>
          <w:color w:val="auto"/>
          <w:sz w:val="22"/>
          <w:szCs w:val="22"/>
        </w:rPr>
        <w:t xml:space="preserve">. </w:t>
      </w:r>
      <w:hyperlink r:id="rId17" w:history="1">
        <w:r w:rsidRPr="00E12E06">
          <w:rPr>
            <w:rStyle w:val="Hyperlink"/>
            <w:rFonts w:ascii="Times New Roman" w:hAnsi="Times New Roman" w:cs="Times New Roman"/>
            <w:color w:val="auto"/>
            <w:sz w:val="22"/>
            <w:szCs w:val="22"/>
          </w:rPr>
          <w:t>http://www.jncc.gov.uk/protectedsites/sacselection/sac.asp?EUCode=UK0012570</w:t>
        </w:r>
      </w:hyperlink>
      <w:r w:rsidRPr="00E12E06">
        <w:rPr>
          <w:rFonts w:ascii="Times New Roman" w:hAnsi="Times New Roman" w:cs="Times New Roman"/>
          <w:color w:val="auto"/>
          <w:sz w:val="22"/>
          <w:szCs w:val="22"/>
        </w:rPr>
        <w:t xml:space="preserve">  Accessed 11 October 2010</w:t>
      </w:r>
    </w:p>
    <w:p w:rsidR="00935FB7" w:rsidRPr="00E12E06" w:rsidRDefault="00935FB7" w:rsidP="00CF681C">
      <w:pPr>
        <w:autoSpaceDE w:val="0"/>
        <w:autoSpaceDN w:val="0"/>
        <w:adjustRightInd w:val="0"/>
        <w:spacing w:after="120" w:line="360" w:lineRule="auto"/>
        <w:ind w:left="284" w:hanging="284"/>
        <w:jc w:val="left"/>
        <w:rPr>
          <w:szCs w:val="22"/>
        </w:rPr>
      </w:pPr>
      <w:r w:rsidRPr="00E12E06">
        <w:rPr>
          <w:szCs w:val="22"/>
        </w:rPr>
        <w:t xml:space="preserve">Kelley D. 1986. Bass nurseries on the west coast of the UK. </w:t>
      </w:r>
      <w:r w:rsidR="00380267">
        <w:rPr>
          <w:szCs w:val="22"/>
        </w:rPr>
        <w:t xml:space="preserve">J. Mar. Bio. Assoc. UK </w:t>
      </w:r>
      <w:r w:rsidRPr="00E12E06">
        <w:rPr>
          <w:szCs w:val="22"/>
        </w:rPr>
        <w:t>66(2): 439-464</w:t>
      </w:r>
    </w:p>
    <w:p w:rsidR="00935FB7" w:rsidRPr="00E12E06" w:rsidRDefault="00935FB7" w:rsidP="00CF681C">
      <w:pPr>
        <w:autoSpaceDE w:val="0"/>
        <w:autoSpaceDN w:val="0"/>
        <w:adjustRightInd w:val="0"/>
        <w:spacing w:after="120" w:line="360" w:lineRule="auto"/>
        <w:ind w:left="284" w:hanging="284"/>
        <w:jc w:val="left"/>
        <w:rPr>
          <w:szCs w:val="22"/>
        </w:rPr>
      </w:pPr>
      <w:proofErr w:type="spellStart"/>
      <w:r w:rsidRPr="00E12E06">
        <w:rPr>
          <w:szCs w:val="22"/>
          <w:lang w:eastAsia="en-GB"/>
        </w:rPr>
        <w:t>Kirchoff</w:t>
      </w:r>
      <w:proofErr w:type="spellEnd"/>
      <w:r w:rsidRPr="00E12E06">
        <w:rPr>
          <w:szCs w:val="22"/>
          <w:lang w:eastAsia="en-GB"/>
        </w:rPr>
        <w:t xml:space="preserve"> T. 2012. Pivotal cultural values of nature cannot be integrated into the ecosystem services framework. PNAS 109(46): E3146</w:t>
      </w:r>
    </w:p>
    <w:p w:rsidR="00935FB7" w:rsidRPr="00E12E06" w:rsidRDefault="00935FB7" w:rsidP="00CF681C">
      <w:pPr>
        <w:spacing w:after="120" w:line="360" w:lineRule="auto"/>
        <w:ind w:left="284" w:hanging="284"/>
        <w:jc w:val="left"/>
        <w:rPr>
          <w:szCs w:val="22"/>
          <w:lang w:eastAsia="en-GB"/>
        </w:rPr>
      </w:pPr>
      <w:r w:rsidRPr="00E12E06">
        <w:rPr>
          <w:iCs/>
          <w:szCs w:val="22"/>
          <w:lang w:eastAsia="en-GB"/>
        </w:rPr>
        <w:t xml:space="preserve">Luisetti T., Bateman I.J., and Turner R.K. 2011. </w:t>
      </w:r>
      <w:r w:rsidRPr="00E12E06">
        <w:rPr>
          <w:szCs w:val="22"/>
          <w:lang w:eastAsia="en-GB"/>
        </w:rPr>
        <w:t xml:space="preserve">Testing the Fundamental Assumption of Choice Experiments: Are Values Absolute or Relative? </w:t>
      </w:r>
      <w:r w:rsidRPr="00E12E06">
        <w:rPr>
          <w:iCs/>
          <w:szCs w:val="22"/>
          <w:lang w:eastAsia="en-GB"/>
        </w:rPr>
        <w:t>Land Econ</w:t>
      </w:r>
      <w:r w:rsidR="00380267">
        <w:rPr>
          <w:iCs/>
          <w:szCs w:val="22"/>
          <w:lang w:eastAsia="en-GB"/>
        </w:rPr>
        <w:t>.</w:t>
      </w:r>
      <w:r w:rsidRPr="00E12E06">
        <w:rPr>
          <w:iCs/>
          <w:szCs w:val="22"/>
          <w:lang w:eastAsia="en-GB"/>
        </w:rPr>
        <w:t xml:space="preserve"> </w:t>
      </w:r>
      <w:r w:rsidRPr="00E12E06">
        <w:rPr>
          <w:szCs w:val="22"/>
          <w:lang w:eastAsia="en-GB"/>
        </w:rPr>
        <w:t>87 (2): 284-296</w:t>
      </w:r>
    </w:p>
    <w:p w:rsidR="00935FB7" w:rsidRPr="00E12E06" w:rsidRDefault="00935FB7" w:rsidP="00CF681C">
      <w:pPr>
        <w:autoSpaceDE w:val="0"/>
        <w:autoSpaceDN w:val="0"/>
        <w:adjustRightInd w:val="0"/>
        <w:spacing w:after="120" w:line="360" w:lineRule="auto"/>
        <w:ind w:left="284" w:hanging="284"/>
        <w:jc w:val="left"/>
        <w:rPr>
          <w:szCs w:val="22"/>
        </w:rPr>
      </w:pPr>
      <w:r w:rsidRPr="00E12E06">
        <w:rPr>
          <w:szCs w:val="22"/>
        </w:rPr>
        <w:t xml:space="preserve">Mangi S.C., Davis C.E., Payne L.A., Austen M.C., Simmonds D., Beaumont N.J. and Smyth T. 2011. Valuing the regulatory services provided by marine ecosystems. </w:t>
      </w:r>
      <w:proofErr w:type="spellStart"/>
      <w:r w:rsidRPr="00E12E06">
        <w:rPr>
          <w:szCs w:val="22"/>
        </w:rPr>
        <w:t>Environmetrics</w:t>
      </w:r>
      <w:proofErr w:type="spellEnd"/>
      <w:r w:rsidRPr="00E12E06">
        <w:rPr>
          <w:szCs w:val="22"/>
        </w:rPr>
        <w:t xml:space="preserve"> 22(5): </w:t>
      </w:r>
      <w:r w:rsidRPr="00E12E06">
        <w:rPr>
          <w:rStyle w:val="databold"/>
          <w:szCs w:val="22"/>
        </w:rPr>
        <w:t>686-698</w:t>
      </w:r>
    </w:p>
    <w:p w:rsidR="00935FB7" w:rsidRPr="00E12E06" w:rsidRDefault="00935FB7" w:rsidP="00CF681C">
      <w:pPr>
        <w:spacing w:after="120" w:line="360" w:lineRule="auto"/>
        <w:ind w:left="284" w:hanging="284"/>
        <w:jc w:val="left"/>
      </w:pPr>
      <w:r w:rsidRPr="00E12E06">
        <w:t>MEA. 2003. Millennium Ecosystem Assessment. A Framework for Assessment. Island Press, Washington DC.</w:t>
      </w:r>
    </w:p>
    <w:p w:rsidR="00935FB7" w:rsidRPr="00E12E06" w:rsidRDefault="00935FB7" w:rsidP="00CF681C">
      <w:pPr>
        <w:spacing w:after="120" w:line="360" w:lineRule="auto"/>
        <w:ind w:left="284" w:hanging="284"/>
        <w:jc w:val="left"/>
        <w:rPr>
          <w:szCs w:val="22"/>
        </w:rPr>
      </w:pPr>
      <w:proofErr w:type="spellStart"/>
      <w:r w:rsidRPr="00E12E06">
        <w:rPr>
          <w:szCs w:val="22"/>
        </w:rPr>
        <w:lastRenderedPageBreak/>
        <w:t>Nankivell</w:t>
      </w:r>
      <w:proofErr w:type="spellEnd"/>
      <w:r w:rsidRPr="00E12E06">
        <w:rPr>
          <w:szCs w:val="22"/>
        </w:rPr>
        <w:t xml:space="preserve"> O. 2010</w:t>
      </w:r>
      <w:r w:rsidR="00DD19C6" w:rsidRPr="00E12E06">
        <w:rPr>
          <w:szCs w:val="22"/>
        </w:rPr>
        <w:t xml:space="preserve">. </w:t>
      </w:r>
      <w:r w:rsidRPr="00E12E06">
        <w:rPr>
          <w:szCs w:val="22"/>
        </w:rPr>
        <w:t>The North Devon Economy 2008: Improving Performance</w:t>
      </w:r>
      <w:r w:rsidR="00DD19C6" w:rsidRPr="00E12E06">
        <w:rPr>
          <w:szCs w:val="22"/>
        </w:rPr>
        <w:t xml:space="preserve">. </w:t>
      </w:r>
      <w:r w:rsidRPr="00E12E06">
        <w:rPr>
          <w:szCs w:val="22"/>
        </w:rPr>
        <w:t>Report for North Devon Council. 29pp</w:t>
      </w:r>
    </w:p>
    <w:p w:rsidR="00935FB7" w:rsidRPr="00E12E06" w:rsidRDefault="00935FB7" w:rsidP="00CF681C">
      <w:pPr>
        <w:spacing w:after="120" w:line="360" w:lineRule="auto"/>
        <w:ind w:left="284" w:hanging="284"/>
        <w:jc w:val="left"/>
        <w:rPr>
          <w:szCs w:val="22"/>
        </w:rPr>
      </w:pPr>
      <w:r w:rsidRPr="00E12E06">
        <w:rPr>
          <w:szCs w:val="22"/>
        </w:rPr>
        <w:t>Natural England</w:t>
      </w:r>
      <w:r w:rsidR="00DD19C6" w:rsidRPr="00E12E06">
        <w:rPr>
          <w:szCs w:val="22"/>
        </w:rPr>
        <w:t xml:space="preserve">. </w:t>
      </w:r>
      <w:r w:rsidRPr="00E12E06">
        <w:rPr>
          <w:szCs w:val="22"/>
        </w:rPr>
        <w:t>2001a</w:t>
      </w:r>
      <w:r w:rsidR="00DD19C6" w:rsidRPr="00E12E06">
        <w:rPr>
          <w:szCs w:val="22"/>
        </w:rPr>
        <w:t xml:space="preserve">. </w:t>
      </w:r>
      <w:r w:rsidRPr="00E12E06">
        <w:rPr>
          <w:szCs w:val="22"/>
        </w:rPr>
        <w:t xml:space="preserve">Taw-Torridge SSSI Citation. </w:t>
      </w:r>
      <w:hyperlink r:id="rId18" w:history="1">
        <w:r w:rsidRPr="00E12E06">
          <w:rPr>
            <w:rStyle w:val="Hyperlink"/>
            <w:color w:val="auto"/>
            <w:szCs w:val="22"/>
          </w:rPr>
          <w:t xml:space="preserve">http://www.sssi.naturalengland.org.uk/citation/citation_photo/1002990.pdf. </w:t>
        </w:r>
      </w:hyperlink>
      <w:r w:rsidRPr="00E12E06">
        <w:rPr>
          <w:szCs w:val="22"/>
        </w:rPr>
        <w:t xml:space="preserve">   Accessed 24 June 2010</w:t>
      </w:r>
    </w:p>
    <w:p w:rsidR="00935FB7" w:rsidRPr="00E12E06" w:rsidRDefault="00935FB7" w:rsidP="00CF681C">
      <w:pPr>
        <w:spacing w:after="120" w:line="360" w:lineRule="auto"/>
        <w:ind w:left="284" w:hanging="284"/>
        <w:jc w:val="left"/>
        <w:rPr>
          <w:szCs w:val="22"/>
        </w:rPr>
      </w:pPr>
      <w:r w:rsidRPr="00E12E06">
        <w:rPr>
          <w:szCs w:val="22"/>
        </w:rPr>
        <w:t>Natural England</w:t>
      </w:r>
      <w:r w:rsidR="00DD19C6" w:rsidRPr="00E12E06">
        <w:rPr>
          <w:szCs w:val="22"/>
        </w:rPr>
        <w:t xml:space="preserve">. </w:t>
      </w:r>
      <w:r w:rsidRPr="00E12E06">
        <w:rPr>
          <w:szCs w:val="22"/>
        </w:rPr>
        <w:t>2001b</w:t>
      </w:r>
      <w:r w:rsidR="00DD19C6" w:rsidRPr="00E12E06">
        <w:rPr>
          <w:szCs w:val="22"/>
        </w:rPr>
        <w:t xml:space="preserve">. </w:t>
      </w:r>
      <w:proofErr w:type="spellStart"/>
      <w:r w:rsidRPr="00E12E06">
        <w:rPr>
          <w:szCs w:val="22"/>
        </w:rPr>
        <w:t>Fremington</w:t>
      </w:r>
      <w:proofErr w:type="spellEnd"/>
      <w:r w:rsidRPr="00E12E06">
        <w:rPr>
          <w:szCs w:val="22"/>
        </w:rPr>
        <w:t xml:space="preserve"> Quay Cliffs SSSI Citation. </w:t>
      </w:r>
      <w:hyperlink r:id="rId19" w:history="1">
        <w:r w:rsidRPr="00E12E06">
          <w:rPr>
            <w:rStyle w:val="Hyperlink"/>
            <w:color w:val="auto"/>
            <w:szCs w:val="22"/>
          </w:rPr>
          <w:t>http://www.sssi.naturalengland.org.uk/citation/citation_photo/1000016.pdf</w:t>
        </w:r>
      </w:hyperlink>
      <w:r w:rsidRPr="00E12E06">
        <w:rPr>
          <w:szCs w:val="22"/>
        </w:rPr>
        <w:t xml:space="preserve">  Accessed 24 June 2010</w:t>
      </w:r>
    </w:p>
    <w:p w:rsidR="00935FB7" w:rsidRPr="00E12E06" w:rsidRDefault="00935FB7" w:rsidP="00CF681C">
      <w:pPr>
        <w:autoSpaceDE w:val="0"/>
        <w:autoSpaceDN w:val="0"/>
        <w:adjustRightInd w:val="0"/>
        <w:spacing w:after="120" w:line="360" w:lineRule="auto"/>
        <w:ind w:left="284" w:hanging="284"/>
        <w:jc w:val="left"/>
        <w:rPr>
          <w:rFonts w:eastAsia="Calibri"/>
          <w:bCs/>
          <w:szCs w:val="22"/>
          <w:lang w:eastAsia="en-GB"/>
        </w:rPr>
      </w:pPr>
      <w:r w:rsidRPr="00E12E06">
        <w:rPr>
          <w:rFonts w:eastAsia="Calibri"/>
          <w:bCs/>
          <w:szCs w:val="22"/>
          <w:lang w:eastAsia="en-GB"/>
        </w:rPr>
        <w:t>NDC &amp; TDC. 2009a</w:t>
      </w:r>
      <w:r w:rsidR="00DD19C6" w:rsidRPr="00E12E06">
        <w:rPr>
          <w:rFonts w:eastAsia="Calibri"/>
          <w:bCs/>
          <w:szCs w:val="22"/>
          <w:lang w:eastAsia="en-GB"/>
        </w:rPr>
        <w:t xml:space="preserve">. </w:t>
      </w:r>
      <w:r w:rsidRPr="00E12E06">
        <w:rPr>
          <w:rFonts w:eastAsia="Calibri"/>
          <w:bCs/>
          <w:szCs w:val="22"/>
          <w:lang w:eastAsia="en-GB"/>
        </w:rPr>
        <w:t>Level 1 Strategic Flood Risk Assessment (Part 2 – NDC Data)</w:t>
      </w:r>
      <w:r w:rsidR="00DD19C6" w:rsidRPr="00E12E06">
        <w:rPr>
          <w:rFonts w:eastAsia="Calibri"/>
          <w:bCs/>
          <w:szCs w:val="22"/>
          <w:lang w:eastAsia="en-GB"/>
        </w:rPr>
        <w:t xml:space="preserve">. </w:t>
      </w:r>
      <w:r w:rsidRPr="00E12E06">
        <w:rPr>
          <w:rFonts w:eastAsia="Calibri"/>
          <w:bCs/>
          <w:szCs w:val="22"/>
          <w:lang w:eastAsia="en-GB"/>
        </w:rPr>
        <w:t>North Devon Council And Torridge District Council. February 2009. 63pp</w:t>
      </w:r>
    </w:p>
    <w:p w:rsidR="00935FB7" w:rsidRPr="00E12E06" w:rsidRDefault="00935FB7" w:rsidP="00CF681C">
      <w:pPr>
        <w:autoSpaceDE w:val="0"/>
        <w:autoSpaceDN w:val="0"/>
        <w:adjustRightInd w:val="0"/>
        <w:spacing w:after="120" w:line="360" w:lineRule="auto"/>
        <w:ind w:left="284" w:hanging="284"/>
        <w:jc w:val="left"/>
        <w:rPr>
          <w:szCs w:val="22"/>
        </w:rPr>
      </w:pPr>
      <w:r w:rsidRPr="00E12E06">
        <w:rPr>
          <w:rFonts w:eastAsia="Calibri"/>
          <w:bCs/>
          <w:szCs w:val="22"/>
          <w:lang w:eastAsia="en-GB"/>
        </w:rPr>
        <w:t>NDC &amp; TDC. 2009b</w:t>
      </w:r>
      <w:r w:rsidR="00DD19C6" w:rsidRPr="00E12E06">
        <w:rPr>
          <w:rFonts w:eastAsia="Calibri"/>
          <w:bCs/>
          <w:szCs w:val="22"/>
          <w:lang w:eastAsia="en-GB"/>
        </w:rPr>
        <w:t xml:space="preserve">. </w:t>
      </w:r>
      <w:r w:rsidRPr="00E12E06">
        <w:rPr>
          <w:rFonts w:eastAsia="Calibri"/>
          <w:bCs/>
          <w:szCs w:val="22"/>
          <w:lang w:eastAsia="en-GB"/>
        </w:rPr>
        <w:t>Level 1 Strategic Flood Risk Assessment (Part 3 – TDC Data)</w:t>
      </w:r>
      <w:r w:rsidR="00DD19C6" w:rsidRPr="00E12E06">
        <w:rPr>
          <w:rFonts w:eastAsia="Calibri"/>
          <w:bCs/>
          <w:szCs w:val="22"/>
          <w:lang w:eastAsia="en-GB"/>
        </w:rPr>
        <w:t xml:space="preserve">. </w:t>
      </w:r>
      <w:r w:rsidRPr="00E12E06">
        <w:rPr>
          <w:rFonts w:eastAsia="Calibri"/>
          <w:bCs/>
          <w:szCs w:val="22"/>
          <w:lang w:eastAsia="en-GB"/>
        </w:rPr>
        <w:t xml:space="preserve">North Devon Council And Torridge District Council. February 2009. 27pp and supporting maps at </w:t>
      </w:r>
      <w:hyperlink r:id="rId20" w:history="1">
        <w:r w:rsidRPr="00E12E06">
          <w:rPr>
            <w:rStyle w:val="Hyperlink"/>
            <w:rFonts w:eastAsia="Calibri"/>
            <w:bCs/>
            <w:color w:val="auto"/>
            <w:szCs w:val="22"/>
            <w:lang w:eastAsia="en-GB"/>
          </w:rPr>
          <w:t>http://www.torridge.gov.uk/index.aspx?articleid=2301</w:t>
        </w:r>
      </w:hyperlink>
      <w:r w:rsidRPr="00E12E06">
        <w:rPr>
          <w:rFonts w:eastAsia="Calibri"/>
          <w:bCs/>
          <w:szCs w:val="22"/>
          <w:lang w:eastAsia="en-GB"/>
        </w:rPr>
        <w:t xml:space="preserve"> Accessed 4 February 2011.</w:t>
      </w:r>
    </w:p>
    <w:p w:rsidR="00935FB7" w:rsidRPr="00E12E06" w:rsidRDefault="00935FB7" w:rsidP="00CF681C">
      <w:pPr>
        <w:autoSpaceDE w:val="0"/>
        <w:autoSpaceDN w:val="0"/>
        <w:adjustRightInd w:val="0"/>
        <w:spacing w:after="120" w:line="360" w:lineRule="auto"/>
        <w:ind w:left="284" w:hanging="284"/>
        <w:jc w:val="left"/>
        <w:rPr>
          <w:rFonts w:eastAsia="Calibri"/>
          <w:bCs/>
          <w:szCs w:val="22"/>
          <w:lang w:eastAsia="en-GB"/>
        </w:rPr>
      </w:pPr>
      <w:r w:rsidRPr="00E12E06">
        <w:rPr>
          <w:szCs w:val="22"/>
        </w:rPr>
        <w:t>North Devon AONB Partnership. 2009. The North Devon Coast. North Devon Areas of Outstanding Natural Beauty</w:t>
      </w:r>
      <w:r w:rsidR="00DD19C6" w:rsidRPr="00E12E06">
        <w:rPr>
          <w:szCs w:val="22"/>
        </w:rPr>
        <w:t xml:space="preserve">. </w:t>
      </w:r>
      <w:r w:rsidRPr="00E12E06">
        <w:rPr>
          <w:szCs w:val="22"/>
        </w:rPr>
        <w:t>Management Strategy 2009-2014. 72pp</w:t>
      </w:r>
    </w:p>
    <w:p w:rsidR="00935FB7" w:rsidRPr="00E12E06" w:rsidRDefault="00935FB7" w:rsidP="00CF681C">
      <w:pPr>
        <w:spacing w:after="120" w:line="360" w:lineRule="auto"/>
        <w:ind w:left="284" w:hanging="284"/>
        <w:jc w:val="left"/>
        <w:rPr>
          <w:szCs w:val="22"/>
        </w:rPr>
      </w:pPr>
      <w:r w:rsidRPr="00E12E06">
        <w:rPr>
          <w:szCs w:val="22"/>
        </w:rPr>
        <w:t>Northern Devon Coast and Countryside Service. 2010</w:t>
      </w:r>
      <w:r w:rsidR="00DD19C6" w:rsidRPr="00E12E06">
        <w:rPr>
          <w:szCs w:val="22"/>
        </w:rPr>
        <w:t xml:space="preserve">. </w:t>
      </w:r>
      <w:r w:rsidRPr="00E12E06">
        <w:rPr>
          <w:szCs w:val="22"/>
        </w:rPr>
        <w:t>Taw-Torridge Estuary Management Plan 2010-2015. Draft July 2010. 7pp</w:t>
      </w:r>
    </w:p>
    <w:p w:rsidR="00935FB7" w:rsidRPr="00E12E06" w:rsidRDefault="00935FB7" w:rsidP="00CF681C">
      <w:pPr>
        <w:autoSpaceDE w:val="0"/>
        <w:autoSpaceDN w:val="0"/>
        <w:adjustRightInd w:val="0"/>
        <w:spacing w:after="120" w:line="360" w:lineRule="auto"/>
        <w:ind w:left="284" w:hanging="284"/>
        <w:jc w:val="left"/>
        <w:rPr>
          <w:rFonts w:eastAsia="Calibri"/>
          <w:bCs/>
          <w:szCs w:val="22"/>
          <w:lang w:eastAsia="en-GB"/>
        </w:rPr>
      </w:pPr>
      <w:r w:rsidRPr="00E12E06">
        <w:rPr>
          <w:rFonts w:eastAsia="Calibri"/>
          <w:bCs/>
          <w:szCs w:val="22"/>
          <w:lang w:eastAsia="en-GB"/>
        </w:rPr>
        <w:t>Northern Devon Partnership. 2009. Northern Devon Joint Sustainable Community Strategy. Final Draft – May 2009. 22pp</w:t>
      </w:r>
    </w:p>
    <w:p w:rsidR="00935FB7" w:rsidRPr="00E12E06" w:rsidRDefault="00935FB7" w:rsidP="00CF681C">
      <w:pPr>
        <w:spacing w:after="120" w:line="360" w:lineRule="auto"/>
        <w:ind w:left="284" w:hanging="284"/>
        <w:jc w:val="left"/>
        <w:rPr>
          <w:bCs/>
          <w:szCs w:val="22"/>
          <w:lang w:eastAsia="en-GB"/>
        </w:rPr>
      </w:pPr>
      <w:r w:rsidRPr="00E12E06">
        <w:rPr>
          <w:szCs w:val="22"/>
        </w:rPr>
        <w:t>ONS 2001</w:t>
      </w:r>
      <w:r w:rsidR="00DD19C6" w:rsidRPr="00E12E06">
        <w:rPr>
          <w:szCs w:val="22"/>
        </w:rPr>
        <w:t xml:space="preserve">. </w:t>
      </w:r>
      <w:r w:rsidRPr="00E12E06">
        <w:rPr>
          <w:szCs w:val="22"/>
        </w:rPr>
        <w:t>Office for National Statistics</w:t>
      </w:r>
      <w:r w:rsidR="00DD19C6" w:rsidRPr="00E12E06">
        <w:rPr>
          <w:szCs w:val="22"/>
        </w:rPr>
        <w:t xml:space="preserve">. </w:t>
      </w:r>
      <w:r w:rsidRPr="00E12E06">
        <w:rPr>
          <w:szCs w:val="22"/>
        </w:rPr>
        <w:t>2001 Census data for North Devon Local Authority, Torridge Local Authority</w:t>
      </w:r>
      <w:r w:rsidR="006A0C98" w:rsidRPr="00E12E06">
        <w:rPr>
          <w:szCs w:val="22"/>
        </w:rPr>
        <w:t xml:space="preserve"> and parishes adjacent to the Taw Torridge estuary. </w:t>
      </w:r>
      <w:hyperlink r:id="rId21" w:history="1">
        <w:r w:rsidRPr="00E12E06">
          <w:rPr>
            <w:rStyle w:val="Hyperlink"/>
            <w:bCs/>
            <w:color w:val="auto"/>
            <w:szCs w:val="22"/>
          </w:rPr>
          <w:t>http://www.neighbourhood.statistics.gov.uk/dissemination/</w:t>
        </w:r>
      </w:hyperlink>
      <w:r w:rsidR="00DD19C6" w:rsidRPr="00E12E06">
        <w:rPr>
          <w:bCs/>
          <w:szCs w:val="22"/>
        </w:rPr>
        <w:t xml:space="preserve">. </w:t>
      </w:r>
      <w:r w:rsidRPr="00E12E06">
        <w:rPr>
          <w:szCs w:val="22"/>
        </w:rPr>
        <w:t>Accessed 25 June 2010</w:t>
      </w:r>
    </w:p>
    <w:p w:rsidR="00935FB7" w:rsidRPr="00E12E06" w:rsidRDefault="00935FB7" w:rsidP="00CF681C">
      <w:pPr>
        <w:spacing w:after="120" w:line="360" w:lineRule="auto"/>
        <w:ind w:left="284" w:hanging="284"/>
        <w:jc w:val="left"/>
        <w:rPr>
          <w:szCs w:val="22"/>
        </w:rPr>
      </w:pPr>
      <w:r w:rsidRPr="00E12E06">
        <w:rPr>
          <w:szCs w:val="22"/>
        </w:rPr>
        <w:t>Oppenheimer M.M. 1968. The Maritime History of Devon</w:t>
      </w:r>
      <w:r w:rsidR="00DD19C6" w:rsidRPr="00E12E06">
        <w:rPr>
          <w:szCs w:val="22"/>
        </w:rPr>
        <w:t xml:space="preserve">. </w:t>
      </w:r>
      <w:r w:rsidRPr="00E12E06">
        <w:rPr>
          <w:szCs w:val="22"/>
        </w:rPr>
        <w:t>University of Exeter</w:t>
      </w:r>
    </w:p>
    <w:p w:rsidR="00935FB7" w:rsidRPr="00E12E06" w:rsidRDefault="00935FB7" w:rsidP="00CF681C">
      <w:pPr>
        <w:autoSpaceDE w:val="0"/>
        <w:autoSpaceDN w:val="0"/>
        <w:adjustRightInd w:val="0"/>
        <w:spacing w:after="120" w:line="360" w:lineRule="auto"/>
        <w:ind w:left="284" w:hanging="284"/>
        <w:jc w:val="left"/>
        <w:rPr>
          <w:szCs w:val="22"/>
        </w:rPr>
      </w:pPr>
      <w:r w:rsidRPr="00E12E06">
        <w:rPr>
          <w:szCs w:val="22"/>
        </w:rPr>
        <w:t xml:space="preserve">Parsons Brinckerhoff. 2010. </w:t>
      </w:r>
      <w:r w:rsidRPr="00E12E06">
        <w:rPr>
          <w:bCs/>
          <w:szCs w:val="22"/>
        </w:rPr>
        <w:t>Severn Tidal Power – SEA Environmental Report. Prepared for the Department for Energy and Climate Change. May 2010. 403pp</w:t>
      </w:r>
    </w:p>
    <w:p w:rsidR="00935FB7" w:rsidRPr="00E12E06" w:rsidRDefault="00935FB7" w:rsidP="00CF681C">
      <w:pPr>
        <w:spacing w:after="120" w:line="360" w:lineRule="auto"/>
        <w:ind w:left="284" w:hanging="284"/>
        <w:jc w:val="left"/>
        <w:rPr>
          <w:szCs w:val="22"/>
        </w:rPr>
      </w:pPr>
      <w:proofErr w:type="spellStart"/>
      <w:r w:rsidRPr="00E12E06">
        <w:rPr>
          <w:szCs w:val="22"/>
        </w:rPr>
        <w:t>Pittock</w:t>
      </w:r>
      <w:proofErr w:type="spellEnd"/>
      <w:r w:rsidRPr="00E12E06">
        <w:rPr>
          <w:szCs w:val="22"/>
        </w:rPr>
        <w:t xml:space="preserve"> J., Cork S. and Maynard S. 2012. The state of the application of ecosystems services in Australia. </w:t>
      </w:r>
      <w:proofErr w:type="spellStart"/>
      <w:r w:rsidR="005E5CB3">
        <w:rPr>
          <w:szCs w:val="22"/>
        </w:rPr>
        <w:t>Ecosyst</w:t>
      </w:r>
      <w:proofErr w:type="spellEnd"/>
      <w:r w:rsidR="005E5CB3">
        <w:rPr>
          <w:szCs w:val="22"/>
        </w:rPr>
        <w:t>. Serv.</w:t>
      </w:r>
      <w:r w:rsidRPr="00E12E06">
        <w:rPr>
          <w:szCs w:val="22"/>
        </w:rPr>
        <w:t xml:space="preserve"> 1: 111–120</w:t>
      </w:r>
    </w:p>
    <w:p w:rsidR="00935FB7" w:rsidRPr="00E12E06" w:rsidRDefault="00935FB7" w:rsidP="00CF681C">
      <w:pPr>
        <w:autoSpaceDE w:val="0"/>
        <w:autoSpaceDN w:val="0"/>
        <w:adjustRightInd w:val="0"/>
        <w:spacing w:after="120" w:line="360" w:lineRule="auto"/>
        <w:ind w:left="284" w:hanging="284"/>
        <w:jc w:val="left"/>
        <w:rPr>
          <w:szCs w:val="22"/>
        </w:rPr>
      </w:pPr>
      <w:r w:rsidRPr="00E12E06">
        <w:rPr>
          <w:szCs w:val="22"/>
        </w:rPr>
        <w:t>Planning Policy Unit</w:t>
      </w:r>
      <w:r w:rsidRPr="00E12E06">
        <w:rPr>
          <w:rStyle w:val="Strong"/>
          <w:b w:val="0"/>
          <w:szCs w:val="22"/>
        </w:rPr>
        <w:t>. 2003. North Devon Local Plan</w:t>
      </w:r>
      <w:r w:rsidRPr="00E12E06">
        <w:rPr>
          <w:bCs/>
          <w:szCs w:val="22"/>
        </w:rPr>
        <w:t xml:space="preserve"> </w:t>
      </w:r>
      <w:r w:rsidRPr="00E12E06">
        <w:rPr>
          <w:rStyle w:val="Strong"/>
          <w:b w:val="0"/>
          <w:szCs w:val="22"/>
        </w:rPr>
        <w:t xml:space="preserve">Revised Deposit. </w:t>
      </w:r>
      <w:r w:rsidRPr="00E12E06">
        <w:rPr>
          <w:rFonts w:eastAsia="Calibri"/>
          <w:bCs/>
          <w:szCs w:val="22"/>
          <w:lang w:eastAsia="en-GB"/>
        </w:rPr>
        <w:t xml:space="preserve">Chapter 13 </w:t>
      </w:r>
      <w:proofErr w:type="spellStart"/>
      <w:r w:rsidRPr="00E12E06">
        <w:rPr>
          <w:rFonts w:eastAsia="Calibri"/>
          <w:bCs/>
          <w:szCs w:val="22"/>
          <w:lang w:eastAsia="en-GB"/>
        </w:rPr>
        <w:t>Fremington</w:t>
      </w:r>
      <w:proofErr w:type="spellEnd"/>
      <w:r w:rsidRPr="00E12E06">
        <w:rPr>
          <w:rFonts w:eastAsia="Calibri"/>
          <w:bCs/>
          <w:szCs w:val="22"/>
          <w:lang w:eastAsia="en-GB"/>
        </w:rPr>
        <w:t xml:space="preserve"> &amp; </w:t>
      </w:r>
      <w:proofErr w:type="spellStart"/>
      <w:r w:rsidRPr="00E12E06">
        <w:rPr>
          <w:rFonts w:eastAsia="Calibri"/>
          <w:bCs/>
          <w:szCs w:val="22"/>
          <w:lang w:eastAsia="en-GB"/>
        </w:rPr>
        <w:t>Yelland</w:t>
      </w:r>
      <w:proofErr w:type="spellEnd"/>
      <w:r w:rsidRPr="00E12E06">
        <w:rPr>
          <w:rFonts w:eastAsia="Calibri"/>
          <w:bCs/>
          <w:szCs w:val="22"/>
          <w:lang w:eastAsia="en-GB"/>
        </w:rPr>
        <w:t xml:space="preserve"> Action Plan</w:t>
      </w:r>
      <w:r w:rsidRPr="00E12E06">
        <w:rPr>
          <w:rStyle w:val="Strong"/>
          <w:b w:val="0"/>
          <w:szCs w:val="22"/>
        </w:rPr>
        <w:t xml:space="preserve"> October 2003</w:t>
      </w:r>
      <w:r w:rsidRPr="00E12E06">
        <w:rPr>
          <w:szCs w:val="22"/>
        </w:rPr>
        <w:t>. North Devon District Council</w:t>
      </w:r>
    </w:p>
    <w:p w:rsidR="00935FB7" w:rsidRPr="00E12E06" w:rsidRDefault="00935FB7" w:rsidP="00CF681C">
      <w:pPr>
        <w:spacing w:after="120" w:line="360" w:lineRule="auto"/>
        <w:ind w:left="284" w:hanging="284"/>
        <w:jc w:val="left"/>
        <w:rPr>
          <w:rFonts w:eastAsia="Calibri"/>
          <w:szCs w:val="22"/>
          <w:lang w:eastAsia="en-GB"/>
        </w:rPr>
      </w:pPr>
      <w:proofErr w:type="spellStart"/>
      <w:r w:rsidRPr="00E12E06">
        <w:rPr>
          <w:rFonts w:eastAsia="Calibri"/>
          <w:szCs w:val="22"/>
          <w:lang w:eastAsia="en-GB"/>
        </w:rPr>
        <w:t>Preece</w:t>
      </w:r>
      <w:proofErr w:type="spellEnd"/>
      <w:r w:rsidRPr="00E12E06">
        <w:rPr>
          <w:rFonts w:eastAsia="Calibri"/>
          <w:szCs w:val="22"/>
          <w:lang w:eastAsia="en-GB"/>
        </w:rPr>
        <w:t xml:space="preserve"> C. 2008. A Field Guide to the Archaeology of the Taw and Torridge Estuaries. Edward Gaskell, Bideford. 48pp</w:t>
      </w:r>
    </w:p>
    <w:p w:rsidR="00935FB7" w:rsidRPr="00E12E06" w:rsidRDefault="00935FB7" w:rsidP="00CF681C">
      <w:pPr>
        <w:autoSpaceDE w:val="0"/>
        <w:autoSpaceDN w:val="0"/>
        <w:adjustRightInd w:val="0"/>
        <w:spacing w:after="120" w:line="360" w:lineRule="auto"/>
        <w:ind w:left="284" w:hanging="284"/>
        <w:jc w:val="left"/>
        <w:rPr>
          <w:szCs w:val="22"/>
          <w:lang w:eastAsia="en-GB"/>
        </w:rPr>
      </w:pPr>
      <w:proofErr w:type="spellStart"/>
      <w:r w:rsidRPr="00E12E06">
        <w:rPr>
          <w:szCs w:val="22"/>
          <w:lang w:eastAsia="en-GB"/>
        </w:rPr>
        <w:lastRenderedPageBreak/>
        <w:t>Preece</w:t>
      </w:r>
      <w:proofErr w:type="spellEnd"/>
      <w:r w:rsidRPr="00E12E06">
        <w:rPr>
          <w:szCs w:val="22"/>
          <w:lang w:eastAsia="en-GB"/>
        </w:rPr>
        <w:t xml:space="preserve"> C. 2005. </w:t>
      </w:r>
      <w:r w:rsidRPr="00E12E06">
        <w:rPr>
          <w:rFonts w:eastAsia="Calibri"/>
          <w:szCs w:val="22"/>
          <w:lang w:eastAsia="en-GB"/>
        </w:rPr>
        <w:t>A Conflict of Interests: The Fish Traps of the Taw and Torridge Estuaries</w:t>
      </w:r>
      <w:r w:rsidR="00DD19C6" w:rsidRPr="00E12E06">
        <w:rPr>
          <w:rFonts w:eastAsia="Calibri"/>
          <w:szCs w:val="22"/>
          <w:lang w:eastAsia="en-GB"/>
        </w:rPr>
        <w:t xml:space="preserve">. </w:t>
      </w:r>
      <w:r w:rsidR="005E5CB3">
        <w:rPr>
          <w:rFonts w:eastAsia="Calibri"/>
          <w:szCs w:val="22"/>
          <w:lang w:eastAsia="en-GB"/>
        </w:rPr>
        <w:t xml:space="preserve">Proc. Devon </w:t>
      </w:r>
      <w:proofErr w:type="spellStart"/>
      <w:r w:rsidR="005E5CB3">
        <w:rPr>
          <w:rFonts w:eastAsia="Calibri"/>
          <w:szCs w:val="22"/>
          <w:lang w:eastAsia="en-GB"/>
        </w:rPr>
        <w:t>Archaeol</w:t>
      </w:r>
      <w:proofErr w:type="spellEnd"/>
      <w:r w:rsidR="005E5CB3">
        <w:rPr>
          <w:rFonts w:eastAsia="Calibri"/>
          <w:szCs w:val="22"/>
          <w:lang w:eastAsia="en-GB"/>
        </w:rPr>
        <w:t>. Soc</w:t>
      </w:r>
      <w:r w:rsidRPr="00E12E06">
        <w:rPr>
          <w:rFonts w:eastAsia="Calibri"/>
          <w:szCs w:val="22"/>
          <w:lang w:eastAsia="en-GB"/>
        </w:rPr>
        <w:t>. 63: 139-165</w:t>
      </w:r>
    </w:p>
    <w:p w:rsidR="00935FB7" w:rsidRPr="00E12E06" w:rsidRDefault="00935FB7" w:rsidP="00CF681C">
      <w:pPr>
        <w:autoSpaceDE w:val="0"/>
        <w:autoSpaceDN w:val="0"/>
        <w:adjustRightInd w:val="0"/>
        <w:spacing w:after="120" w:line="360" w:lineRule="auto"/>
        <w:ind w:left="284" w:hanging="284"/>
        <w:jc w:val="left"/>
        <w:rPr>
          <w:szCs w:val="22"/>
        </w:rPr>
      </w:pPr>
      <w:r w:rsidRPr="00E12E06">
        <w:rPr>
          <w:szCs w:val="22"/>
          <w:lang w:eastAsia="en-GB"/>
        </w:rPr>
        <w:t xml:space="preserve">Rees S.E., Austen M.C., </w:t>
      </w:r>
      <w:proofErr w:type="spellStart"/>
      <w:r w:rsidRPr="00E12E06">
        <w:rPr>
          <w:szCs w:val="22"/>
          <w:lang w:eastAsia="en-GB"/>
        </w:rPr>
        <w:t>Attrill</w:t>
      </w:r>
      <w:proofErr w:type="spellEnd"/>
      <w:r w:rsidRPr="00E12E06">
        <w:rPr>
          <w:szCs w:val="22"/>
          <w:lang w:eastAsia="en-GB"/>
        </w:rPr>
        <w:t xml:space="preserve"> M.J. and </w:t>
      </w:r>
      <w:proofErr w:type="spellStart"/>
      <w:r w:rsidRPr="00E12E06">
        <w:rPr>
          <w:szCs w:val="22"/>
          <w:lang w:eastAsia="en-GB"/>
        </w:rPr>
        <w:t>Rodwell</w:t>
      </w:r>
      <w:proofErr w:type="spellEnd"/>
      <w:r w:rsidRPr="00E12E06">
        <w:rPr>
          <w:szCs w:val="22"/>
          <w:lang w:eastAsia="en-GB"/>
        </w:rPr>
        <w:t xml:space="preserve"> L.D. 2012. Incorporating indirect ecosystem services into marine protected area planning and management. </w:t>
      </w:r>
      <w:r w:rsidR="005E5CB3">
        <w:rPr>
          <w:szCs w:val="22"/>
          <w:lang w:eastAsia="en-GB"/>
        </w:rPr>
        <w:t>Int.</w:t>
      </w:r>
      <w:r w:rsidRPr="00E12E06">
        <w:rPr>
          <w:szCs w:val="22"/>
          <w:lang w:eastAsia="en-GB"/>
        </w:rPr>
        <w:t xml:space="preserve"> J</w:t>
      </w:r>
      <w:r w:rsidR="005E5CB3">
        <w:rPr>
          <w:szCs w:val="22"/>
          <w:lang w:eastAsia="en-GB"/>
        </w:rPr>
        <w:t>.</w:t>
      </w:r>
      <w:r w:rsidRPr="00E12E06">
        <w:rPr>
          <w:szCs w:val="22"/>
          <w:lang w:eastAsia="en-GB"/>
        </w:rPr>
        <w:t xml:space="preserve"> </w:t>
      </w:r>
      <w:proofErr w:type="spellStart"/>
      <w:r w:rsidRPr="00E12E06">
        <w:rPr>
          <w:szCs w:val="22"/>
          <w:lang w:eastAsia="en-GB"/>
        </w:rPr>
        <w:t>Biodivers</w:t>
      </w:r>
      <w:proofErr w:type="spellEnd"/>
      <w:r w:rsidR="005E5CB3">
        <w:rPr>
          <w:szCs w:val="22"/>
          <w:lang w:eastAsia="en-GB"/>
        </w:rPr>
        <w:t>.</w:t>
      </w:r>
      <w:r w:rsidRPr="00E12E06">
        <w:rPr>
          <w:szCs w:val="22"/>
          <w:lang w:eastAsia="en-GB"/>
        </w:rPr>
        <w:t xml:space="preserve"> Sci</w:t>
      </w:r>
      <w:r w:rsidR="005E5CB3">
        <w:rPr>
          <w:szCs w:val="22"/>
          <w:lang w:eastAsia="en-GB"/>
        </w:rPr>
        <w:t>.</w:t>
      </w:r>
      <w:r w:rsidRPr="00E12E06">
        <w:rPr>
          <w:szCs w:val="22"/>
          <w:lang w:eastAsia="en-GB"/>
        </w:rPr>
        <w:t xml:space="preserve">, </w:t>
      </w:r>
      <w:proofErr w:type="spellStart"/>
      <w:r w:rsidRPr="00E12E06">
        <w:rPr>
          <w:szCs w:val="22"/>
          <w:lang w:eastAsia="en-GB"/>
        </w:rPr>
        <w:t>Ecosys</w:t>
      </w:r>
      <w:proofErr w:type="spellEnd"/>
      <w:r w:rsidR="005E5CB3">
        <w:rPr>
          <w:szCs w:val="22"/>
          <w:lang w:eastAsia="en-GB"/>
        </w:rPr>
        <w:t xml:space="preserve">. </w:t>
      </w:r>
      <w:r w:rsidRPr="00E12E06">
        <w:rPr>
          <w:szCs w:val="22"/>
          <w:lang w:eastAsia="en-GB"/>
        </w:rPr>
        <w:t>Serv</w:t>
      </w:r>
      <w:r w:rsidR="005E5CB3">
        <w:rPr>
          <w:szCs w:val="22"/>
          <w:lang w:eastAsia="en-GB"/>
        </w:rPr>
        <w:t xml:space="preserve">. </w:t>
      </w:r>
      <w:proofErr w:type="spellStart"/>
      <w:r w:rsidR="005E5CB3">
        <w:rPr>
          <w:szCs w:val="22"/>
          <w:lang w:eastAsia="en-GB"/>
        </w:rPr>
        <w:t>Manag</w:t>
      </w:r>
      <w:proofErr w:type="spellEnd"/>
      <w:r w:rsidR="005E5CB3">
        <w:rPr>
          <w:szCs w:val="22"/>
          <w:lang w:eastAsia="en-GB"/>
        </w:rPr>
        <w:t>.</w:t>
      </w:r>
      <w:r w:rsidRPr="00E12E06">
        <w:rPr>
          <w:szCs w:val="22"/>
          <w:lang w:eastAsia="en-GB"/>
        </w:rPr>
        <w:t xml:space="preserve"> 8(3): 273-285</w:t>
      </w:r>
    </w:p>
    <w:p w:rsidR="00935FB7" w:rsidRPr="00E12E06" w:rsidRDefault="00935FB7" w:rsidP="00CF681C">
      <w:pPr>
        <w:autoSpaceDE w:val="0"/>
        <w:autoSpaceDN w:val="0"/>
        <w:adjustRightInd w:val="0"/>
        <w:spacing w:after="120" w:line="360" w:lineRule="auto"/>
        <w:ind w:left="284" w:hanging="284"/>
        <w:jc w:val="left"/>
        <w:rPr>
          <w:color w:val="000000"/>
          <w:lang w:eastAsia="en-GB"/>
        </w:rPr>
      </w:pPr>
      <w:r w:rsidRPr="00E12E06">
        <w:rPr>
          <w:color w:val="231F20"/>
          <w:lang w:eastAsia="en-GB"/>
        </w:rPr>
        <w:t xml:space="preserve">Saunders J., </w:t>
      </w:r>
      <w:proofErr w:type="spellStart"/>
      <w:r w:rsidRPr="00E12E06">
        <w:rPr>
          <w:color w:val="231F20"/>
          <w:lang w:eastAsia="en-GB"/>
        </w:rPr>
        <w:t>Tinch</w:t>
      </w:r>
      <w:proofErr w:type="spellEnd"/>
      <w:r w:rsidRPr="00E12E06">
        <w:rPr>
          <w:color w:val="231F20"/>
          <w:lang w:eastAsia="en-GB"/>
        </w:rPr>
        <w:t xml:space="preserve"> R. and Hull S</w:t>
      </w:r>
      <w:r w:rsidR="00DD19C6" w:rsidRPr="00E12E06">
        <w:rPr>
          <w:color w:val="231F20"/>
          <w:lang w:eastAsia="en-GB"/>
        </w:rPr>
        <w:t xml:space="preserve">. </w:t>
      </w:r>
      <w:r w:rsidRPr="00E12E06">
        <w:rPr>
          <w:color w:val="231F20"/>
          <w:lang w:eastAsia="en-GB"/>
        </w:rPr>
        <w:t xml:space="preserve">2010. </w:t>
      </w:r>
      <w:r w:rsidRPr="00E12E06">
        <w:rPr>
          <w:color w:val="000000"/>
          <w:lang w:eastAsia="en-GB"/>
        </w:rPr>
        <w:t>Valuing the Marine Estate and UK Seas: An Ecosystem Services Framework</w:t>
      </w:r>
      <w:r w:rsidR="00DD19C6" w:rsidRPr="00E12E06">
        <w:rPr>
          <w:color w:val="000000"/>
          <w:lang w:eastAsia="en-GB"/>
        </w:rPr>
        <w:t xml:space="preserve">. </w:t>
      </w:r>
      <w:r w:rsidRPr="00E12E06">
        <w:rPr>
          <w:color w:val="000000"/>
          <w:lang w:eastAsia="en-GB"/>
        </w:rPr>
        <w:t>March 2010</w:t>
      </w:r>
      <w:r w:rsidR="00DD19C6" w:rsidRPr="00E12E06">
        <w:rPr>
          <w:color w:val="000000"/>
          <w:lang w:eastAsia="en-GB"/>
        </w:rPr>
        <w:t xml:space="preserve">. </w:t>
      </w:r>
      <w:r w:rsidRPr="00E12E06">
        <w:rPr>
          <w:color w:val="000000"/>
          <w:lang w:eastAsia="en-GB"/>
        </w:rPr>
        <w:t xml:space="preserve">The Crown Estate. 54pp </w:t>
      </w:r>
    </w:p>
    <w:p w:rsidR="00935FB7" w:rsidRPr="00E12E06" w:rsidRDefault="00935FB7" w:rsidP="00CF681C">
      <w:pPr>
        <w:autoSpaceDE w:val="0"/>
        <w:autoSpaceDN w:val="0"/>
        <w:adjustRightInd w:val="0"/>
        <w:spacing w:after="120" w:line="360" w:lineRule="auto"/>
        <w:ind w:left="284" w:hanging="284"/>
        <w:jc w:val="left"/>
        <w:rPr>
          <w:szCs w:val="22"/>
          <w:lang w:eastAsia="en-GB"/>
        </w:rPr>
      </w:pPr>
      <w:r w:rsidRPr="00E12E06">
        <w:rPr>
          <w:szCs w:val="22"/>
          <w:lang w:eastAsia="en-GB"/>
        </w:rPr>
        <w:t xml:space="preserve">TEEB. 2010. The Economics of Ecosystems and Biodiversity: Ecological and Economic Foundations. Edited by </w:t>
      </w:r>
      <w:proofErr w:type="spellStart"/>
      <w:r w:rsidRPr="00E12E06">
        <w:rPr>
          <w:szCs w:val="22"/>
          <w:lang w:eastAsia="en-GB"/>
        </w:rPr>
        <w:t>Pushpam</w:t>
      </w:r>
      <w:proofErr w:type="spellEnd"/>
      <w:r w:rsidRPr="00E12E06">
        <w:rPr>
          <w:szCs w:val="22"/>
          <w:lang w:eastAsia="en-GB"/>
        </w:rPr>
        <w:t xml:space="preserve"> Kumar. </w:t>
      </w:r>
      <w:proofErr w:type="spellStart"/>
      <w:r w:rsidRPr="00E12E06">
        <w:rPr>
          <w:szCs w:val="22"/>
          <w:lang w:eastAsia="en-GB"/>
        </w:rPr>
        <w:t>Earthscan</w:t>
      </w:r>
      <w:proofErr w:type="spellEnd"/>
      <w:r w:rsidRPr="00E12E06">
        <w:rPr>
          <w:szCs w:val="22"/>
          <w:lang w:eastAsia="en-GB"/>
        </w:rPr>
        <w:t>, London.</w:t>
      </w:r>
    </w:p>
    <w:p w:rsidR="00935FB7" w:rsidRPr="00E12E06" w:rsidRDefault="00935FB7" w:rsidP="00CF681C">
      <w:pPr>
        <w:spacing w:after="120" w:line="360" w:lineRule="auto"/>
        <w:ind w:left="284" w:hanging="284"/>
        <w:jc w:val="left"/>
        <w:rPr>
          <w:szCs w:val="22"/>
        </w:rPr>
      </w:pPr>
      <w:r w:rsidRPr="00E12E06">
        <w:rPr>
          <w:szCs w:val="22"/>
        </w:rPr>
        <w:t>TTEP. 1998. Taw Torridge Estuary Combined Issues Report. Taw Torridge Estuary Project. 120pp</w:t>
      </w:r>
    </w:p>
    <w:p w:rsidR="00E9333C" w:rsidRPr="008A0AE7" w:rsidRDefault="00E9333C" w:rsidP="00E9333C">
      <w:pPr>
        <w:spacing w:after="120"/>
        <w:ind w:left="284" w:hanging="284"/>
      </w:pPr>
      <w:r w:rsidRPr="008A0AE7">
        <w:t xml:space="preserve">Turner R.K, Paavola J, Cooper P, Farber S, </w:t>
      </w:r>
      <w:proofErr w:type="spellStart"/>
      <w:r w:rsidRPr="008A0AE7">
        <w:t>Jessamy</w:t>
      </w:r>
      <w:proofErr w:type="spellEnd"/>
      <w:r w:rsidRPr="008A0AE7">
        <w:t xml:space="preserve"> V, Georgiou. 2003. Valuing nature: lessons learned and future research directions. </w:t>
      </w:r>
      <w:r w:rsidRPr="008A0AE7">
        <w:rPr>
          <w:i/>
        </w:rPr>
        <w:t>Ecological Economics</w:t>
      </w:r>
      <w:r w:rsidRPr="008A0AE7">
        <w:t xml:space="preserve"> </w:t>
      </w:r>
      <w:r w:rsidRPr="008A0AE7">
        <w:rPr>
          <w:b/>
        </w:rPr>
        <w:t>46</w:t>
      </w:r>
      <w:r w:rsidRPr="008A0AE7">
        <w:t>: 493-510</w:t>
      </w:r>
    </w:p>
    <w:p w:rsidR="00935FB7" w:rsidRPr="00E12E06" w:rsidRDefault="00935FB7" w:rsidP="00CF681C">
      <w:pPr>
        <w:autoSpaceDE w:val="0"/>
        <w:autoSpaceDN w:val="0"/>
        <w:adjustRightInd w:val="0"/>
        <w:spacing w:after="120" w:line="360" w:lineRule="auto"/>
        <w:ind w:left="284" w:hanging="284"/>
        <w:jc w:val="left"/>
      </w:pPr>
      <w:r w:rsidRPr="00E12E06">
        <w:rPr>
          <w:lang w:eastAsia="en-GB"/>
        </w:rPr>
        <w:t>UK National Ecosystem Assessment. 2011. The UK National Ecosystem Assessment Technical Report. UNEP-WCMC, Cambridge</w:t>
      </w:r>
    </w:p>
    <w:p w:rsidR="00935FB7" w:rsidRPr="00E12E06" w:rsidRDefault="00935FB7" w:rsidP="00CF681C">
      <w:pPr>
        <w:autoSpaceDE w:val="0"/>
        <w:autoSpaceDN w:val="0"/>
        <w:adjustRightInd w:val="0"/>
        <w:spacing w:after="120" w:line="360" w:lineRule="auto"/>
        <w:ind w:left="284" w:hanging="284"/>
        <w:jc w:val="left"/>
        <w:rPr>
          <w:szCs w:val="22"/>
        </w:rPr>
      </w:pPr>
      <w:r w:rsidRPr="00E12E06">
        <w:rPr>
          <w:szCs w:val="22"/>
        </w:rPr>
        <w:t>UNESCO. 2009. MAB Biosphere Reserves Directory</w:t>
      </w:r>
      <w:r w:rsidR="00DD19C6" w:rsidRPr="00E12E06">
        <w:rPr>
          <w:szCs w:val="22"/>
        </w:rPr>
        <w:t xml:space="preserve">. </w:t>
      </w:r>
      <w:r w:rsidRPr="00E12E06">
        <w:rPr>
          <w:szCs w:val="22"/>
        </w:rPr>
        <w:t>Biosphere Reserve Information</w:t>
      </w:r>
      <w:r w:rsidR="00DD19C6" w:rsidRPr="00E12E06">
        <w:rPr>
          <w:szCs w:val="22"/>
        </w:rPr>
        <w:t xml:space="preserve">. </w:t>
      </w:r>
      <w:proofErr w:type="spellStart"/>
      <w:r w:rsidRPr="00E12E06">
        <w:rPr>
          <w:szCs w:val="22"/>
        </w:rPr>
        <w:t>Braunton</w:t>
      </w:r>
      <w:proofErr w:type="spellEnd"/>
      <w:r w:rsidRPr="00E12E06">
        <w:rPr>
          <w:szCs w:val="22"/>
        </w:rPr>
        <w:t xml:space="preserve"> Burrows</w:t>
      </w:r>
      <w:r w:rsidR="00DD19C6" w:rsidRPr="00E12E06">
        <w:rPr>
          <w:szCs w:val="22"/>
        </w:rPr>
        <w:t xml:space="preserve">. </w:t>
      </w:r>
      <w:hyperlink r:id="rId22" w:history="1">
        <w:r w:rsidRPr="00E12E06">
          <w:rPr>
            <w:rStyle w:val="Hyperlink"/>
            <w:color w:val="auto"/>
            <w:szCs w:val="22"/>
          </w:rPr>
          <w:t>http://www.unesco.org/mabdb/br/brdir/directory/biores.asp?mode=all&amp;code=UKM+02</w:t>
        </w:r>
      </w:hyperlink>
      <w:r w:rsidRPr="00E12E06">
        <w:rPr>
          <w:szCs w:val="22"/>
        </w:rPr>
        <w:t xml:space="preserve">  Accessed 18 January 2011</w:t>
      </w:r>
    </w:p>
    <w:p w:rsidR="00935FB7" w:rsidRPr="00E12E06" w:rsidRDefault="00935FB7" w:rsidP="00CF681C">
      <w:pPr>
        <w:spacing w:after="120" w:line="360" w:lineRule="auto"/>
        <w:ind w:left="284" w:hanging="284"/>
        <w:jc w:val="left"/>
      </w:pPr>
      <w:r w:rsidRPr="00E12E06">
        <w:t>Wallace K. 2007. Classification of ecosystem services: Problems and solutions. Biol</w:t>
      </w:r>
      <w:r w:rsidR="005E5CB3">
        <w:t>.</w:t>
      </w:r>
      <w:r w:rsidRPr="00E12E06">
        <w:t xml:space="preserve"> </w:t>
      </w:r>
      <w:proofErr w:type="spellStart"/>
      <w:r w:rsidRPr="00E12E06">
        <w:t>Conserv</w:t>
      </w:r>
      <w:proofErr w:type="spellEnd"/>
      <w:r w:rsidR="005E5CB3">
        <w:t>.</w:t>
      </w:r>
      <w:r w:rsidRPr="00E12E06">
        <w:t xml:space="preserve"> 139: 235-246.</w:t>
      </w:r>
    </w:p>
    <w:p w:rsidR="0018487A" w:rsidRPr="00297140" w:rsidRDefault="0018487A" w:rsidP="00CF681C">
      <w:pPr>
        <w:spacing w:after="120" w:line="360" w:lineRule="auto"/>
        <w:jc w:val="left"/>
      </w:pPr>
    </w:p>
    <w:sectPr w:rsidR="0018487A" w:rsidRPr="00297140" w:rsidSect="004425C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B6D" w:rsidRDefault="003E1B6D" w:rsidP="000D2433">
      <w:r>
        <w:separator/>
      </w:r>
    </w:p>
  </w:endnote>
  <w:endnote w:type="continuationSeparator" w:id="0">
    <w:p w:rsidR="003E1B6D" w:rsidRDefault="003E1B6D" w:rsidP="000D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Univers 55">
    <w:altName w:val="Univers 55"/>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Garamond-Bold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721113"/>
      <w:docPartObj>
        <w:docPartGallery w:val="Page Numbers (Bottom of Page)"/>
        <w:docPartUnique/>
      </w:docPartObj>
    </w:sdtPr>
    <w:sdtEndPr>
      <w:rPr>
        <w:noProof/>
        <w:sz w:val="20"/>
        <w:szCs w:val="20"/>
      </w:rPr>
    </w:sdtEndPr>
    <w:sdtContent>
      <w:p w:rsidR="00FF49CA" w:rsidRDefault="00662403" w:rsidP="001954EB">
        <w:pPr>
          <w:pStyle w:val="Footer"/>
          <w:jc w:val="right"/>
        </w:pPr>
        <w:r w:rsidRPr="001954EB">
          <w:rPr>
            <w:sz w:val="20"/>
            <w:szCs w:val="20"/>
          </w:rPr>
          <w:fldChar w:fldCharType="begin"/>
        </w:r>
        <w:r w:rsidR="00FF49CA" w:rsidRPr="001954EB">
          <w:rPr>
            <w:sz w:val="20"/>
            <w:szCs w:val="20"/>
          </w:rPr>
          <w:instrText xml:space="preserve"> PAGE   \* MERGEFORMAT </w:instrText>
        </w:r>
        <w:r w:rsidRPr="001954EB">
          <w:rPr>
            <w:sz w:val="20"/>
            <w:szCs w:val="20"/>
          </w:rPr>
          <w:fldChar w:fldCharType="separate"/>
        </w:r>
        <w:r w:rsidR="004425C9">
          <w:rPr>
            <w:noProof/>
            <w:sz w:val="20"/>
            <w:szCs w:val="20"/>
          </w:rPr>
          <w:t>9</w:t>
        </w:r>
        <w:r w:rsidRPr="001954EB">
          <w:rPr>
            <w:noProof/>
            <w:sz w:val="20"/>
            <w:szCs w:val="20"/>
          </w:rPr>
          <w:fldChar w:fldCharType="end"/>
        </w:r>
      </w:p>
    </w:sdtContent>
  </w:sdt>
  <w:p w:rsidR="00FF49CA" w:rsidRDefault="00FF4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B6D" w:rsidRDefault="003E1B6D" w:rsidP="000D2433">
      <w:r>
        <w:separator/>
      </w:r>
    </w:p>
  </w:footnote>
  <w:footnote w:type="continuationSeparator" w:id="0">
    <w:p w:rsidR="003E1B6D" w:rsidRDefault="003E1B6D" w:rsidP="000D2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E31FD1"/>
    <w:multiLevelType w:val="hybridMultilevel"/>
    <w:tmpl w:val="55C0C3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6CFEB3FE"/>
    <w:lvl w:ilvl="0">
      <w:numFmt w:val="bullet"/>
      <w:lvlText w:val="*"/>
      <w:lvlJc w:val="left"/>
    </w:lvl>
  </w:abstractNum>
  <w:abstractNum w:abstractNumId="2">
    <w:nsid w:val="021175FA"/>
    <w:multiLevelType w:val="hybridMultilevel"/>
    <w:tmpl w:val="81A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67364A"/>
    <w:multiLevelType w:val="hybridMultilevel"/>
    <w:tmpl w:val="F0DA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A3456E"/>
    <w:multiLevelType w:val="hybridMultilevel"/>
    <w:tmpl w:val="948E7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C536FB"/>
    <w:multiLevelType w:val="hybridMultilevel"/>
    <w:tmpl w:val="E91E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785D27"/>
    <w:multiLevelType w:val="hybridMultilevel"/>
    <w:tmpl w:val="DE760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E3C46F5"/>
    <w:multiLevelType w:val="hybridMultilevel"/>
    <w:tmpl w:val="E610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913233"/>
    <w:multiLevelType w:val="hybridMultilevel"/>
    <w:tmpl w:val="0016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AA3416"/>
    <w:multiLevelType w:val="hybridMultilevel"/>
    <w:tmpl w:val="D04EE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6C0C81"/>
    <w:multiLevelType w:val="hybridMultilevel"/>
    <w:tmpl w:val="D93C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3F25CE"/>
    <w:multiLevelType w:val="multilevel"/>
    <w:tmpl w:val="E90C2278"/>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1CDC5644"/>
    <w:multiLevelType w:val="hybridMultilevel"/>
    <w:tmpl w:val="5752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6767FC"/>
    <w:multiLevelType w:val="hybridMultilevel"/>
    <w:tmpl w:val="13061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FEC28C1"/>
    <w:multiLevelType w:val="multilevel"/>
    <w:tmpl w:val="403E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1D70C0"/>
    <w:multiLevelType w:val="hybridMultilevel"/>
    <w:tmpl w:val="0BAC26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2E4AF21"/>
    <w:multiLevelType w:val="hybridMultilevel"/>
    <w:tmpl w:val="41D8D9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DF656B1"/>
    <w:multiLevelType w:val="hybridMultilevel"/>
    <w:tmpl w:val="0958E3CC"/>
    <w:lvl w:ilvl="0" w:tplc="07F0FEC8">
      <w:start w:val="1"/>
      <w:numFmt w:val="lowerRoman"/>
      <w:lvlText w:val="%1."/>
      <w:lvlJc w:val="left"/>
      <w:pPr>
        <w:ind w:left="1305" w:hanging="720"/>
      </w:pPr>
      <w:rPr>
        <w:rFonts w:hint="default"/>
        <w:sz w:val="22"/>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18">
    <w:nsid w:val="42336FD3"/>
    <w:multiLevelType w:val="hybridMultilevel"/>
    <w:tmpl w:val="7A906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9DC5461"/>
    <w:multiLevelType w:val="hybridMultilevel"/>
    <w:tmpl w:val="05D281B2"/>
    <w:lvl w:ilvl="0" w:tplc="1D046C66">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4BD728F7"/>
    <w:multiLevelType w:val="hybridMultilevel"/>
    <w:tmpl w:val="A530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7D3C37"/>
    <w:multiLevelType w:val="multilevel"/>
    <w:tmpl w:val="B7F8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0B3CC1"/>
    <w:multiLevelType w:val="hybridMultilevel"/>
    <w:tmpl w:val="EF58C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925490"/>
    <w:multiLevelType w:val="hybridMultilevel"/>
    <w:tmpl w:val="E0AE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B23834"/>
    <w:multiLevelType w:val="hybridMultilevel"/>
    <w:tmpl w:val="CB30A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5563D6"/>
    <w:multiLevelType w:val="hybridMultilevel"/>
    <w:tmpl w:val="B14C5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B17A0D"/>
    <w:multiLevelType w:val="hybridMultilevel"/>
    <w:tmpl w:val="0A0C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1C7954"/>
    <w:multiLevelType w:val="hybridMultilevel"/>
    <w:tmpl w:val="CA523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413108"/>
    <w:multiLevelType w:val="hybridMultilevel"/>
    <w:tmpl w:val="77B0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27158D"/>
    <w:multiLevelType w:val="hybridMultilevel"/>
    <w:tmpl w:val="00147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0D27A8"/>
    <w:multiLevelType w:val="hybridMultilevel"/>
    <w:tmpl w:val="12E40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8D0B56"/>
    <w:multiLevelType w:val="hybridMultilevel"/>
    <w:tmpl w:val="1032C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DF1A90"/>
    <w:multiLevelType w:val="hybridMultilevel"/>
    <w:tmpl w:val="71681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69B5990"/>
    <w:multiLevelType w:val="hybridMultilevel"/>
    <w:tmpl w:val="412E1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BD78B3"/>
    <w:multiLevelType w:val="hybridMultilevel"/>
    <w:tmpl w:val="865AA58C"/>
    <w:lvl w:ilvl="0" w:tplc="E4B0E6B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CEE0B13"/>
    <w:multiLevelType w:val="hybridMultilevel"/>
    <w:tmpl w:val="1B54B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18"/>
  </w:num>
  <w:num w:numId="4">
    <w:abstractNumId w:val="16"/>
  </w:num>
  <w:num w:numId="5">
    <w:abstractNumId w:val="0"/>
  </w:num>
  <w:num w:numId="6">
    <w:abstractNumId w:val="14"/>
  </w:num>
  <w:num w:numId="7">
    <w:abstractNumId w:val="21"/>
  </w:num>
  <w:num w:numId="8">
    <w:abstractNumId w:val="12"/>
  </w:num>
  <w:num w:numId="9">
    <w:abstractNumId w:val="28"/>
  </w:num>
  <w:num w:numId="10">
    <w:abstractNumId w:val="32"/>
  </w:num>
  <w:num w:numId="11">
    <w:abstractNumId w:val="31"/>
  </w:num>
  <w:num w:numId="12">
    <w:abstractNumId w:val="15"/>
  </w:num>
  <w:num w:numId="13">
    <w:abstractNumId w:val="6"/>
  </w:num>
  <w:num w:numId="14">
    <w:abstractNumId w:val="24"/>
  </w:num>
  <w:num w:numId="15">
    <w:abstractNumId w:val="17"/>
  </w:num>
  <w:num w:numId="16">
    <w:abstractNumId w:val="9"/>
  </w:num>
  <w:num w:numId="17">
    <w:abstractNumId w:val="35"/>
  </w:num>
  <w:num w:numId="18">
    <w:abstractNumId w:val="30"/>
  </w:num>
  <w:num w:numId="19">
    <w:abstractNumId w:val="10"/>
  </w:num>
  <w:num w:numId="20">
    <w:abstractNumId w:val="27"/>
  </w:num>
  <w:num w:numId="21">
    <w:abstractNumId w:val="29"/>
  </w:num>
  <w:num w:numId="22">
    <w:abstractNumId w:val="34"/>
  </w:num>
  <w:num w:numId="23">
    <w:abstractNumId w:val="3"/>
  </w:num>
  <w:num w:numId="24">
    <w:abstractNumId w:val="23"/>
  </w:num>
  <w:num w:numId="25">
    <w:abstractNumId w:val="25"/>
  </w:num>
  <w:num w:numId="26">
    <w:abstractNumId w:val="26"/>
  </w:num>
  <w:num w:numId="27">
    <w:abstractNumId w:val="22"/>
  </w:num>
  <w:num w:numId="28">
    <w:abstractNumId w:val="11"/>
  </w:num>
  <w:num w:numId="29">
    <w:abstractNumId w:val="13"/>
  </w:num>
  <w:num w:numId="30">
    <w:abstractNumId w:val="4"/>
  </w:num>
  <w:num w:numId="31">
    <w:abstractNumId w:val="1"/>
    <w:lvlOverride w:ilvl="0">
      <w:lvl w:ilvl="0">
        <w:start w:val="1"/>
        <w:numFmt w:val="bullet"/>
        <w:lvlText w:val=""/>
        <w:legacy w:legacy="1" w:legacySpace="0" w:legacyIndent="360"/>
        <w:lvlJc w:val="left"/>
        <w:pPr>
          <w:ind w:left="720" w:hanging="360"/>
        </w:pPr>
        <w:rPr>
          <w:rFonts w:ascii="Symbol" w:hAnsi="Symbol" w:hint="default"/>
          <w:sz w:val="28"/>
        </w:rPr>
      </w:lvl>
    </w:lvlOverride>
  </w:num>
  <w:num w:numId="32">
    <w:abstractNumId w:val="19"/>
  </w:num>
  <w:num w:numId="33">
    <w:abstractNumId w:val="7"/>
  </w:num>
  <w:num w:numId="34">
    <w:abstractNumId w:val="8"/>
  </w:num>
  <w:num w:numId="35">
    <w:abstractNumId w:val="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7833"/>
    <w:rsid w:val="00000F86"/>
    <w:rsid w:val="000016A3"/>
    <w:rsid w:val="00001B1A"/>
    <w:rsid w:val="00001CF0"/>
    <w:rsid w:val="000027D6"/>
    <w:rsid w:val="00005277"/>
    <w:rsid w:val="000052F6"/>
    <w:rsid w:val="0000598E"/>
    <w:rsid w:val="000076D0"/>
    <w:rsid w:val="000077B2"/>
    <w:rsid w:val="00007D45"/>
    <w:rsid w:val="0001212D"/>
    <w:rsid w:val="0001494E"/>
    <w:rsid w:val="00015750"/>
    <w:rsid w:val="00015E83"/>
    <w:rsid w:val="00015F4B"/>
    <w:rsid w:val="0001642D"/>
    <w:rsid w:val="0001666F"/>
    <w:rsid w:val="00017E14"/>
    <w:rsid w:val="00022C25"/>
    <w:rsid w:val="00023DB4"/>
    <w:rsid w:val="00024713"/>
    <w:rsid w:val="00025D88"/>
    <w:rsid w:val="00027086"/>
    <w:rsid w:val="000270D1"/>
    <w:rsid w:val="0002794A"/>
    <w:rsid w:val="000279B1"/>
    <w:rsid w:val="00030690"/>
    <w:rsid w:val="00030F97"/>
    <w:rsid w:val="0003136D"/>
    <w:rsid w:val="00031D11"/>
    <w:rsid w:val="00034885"/>
    <w:rsid w:val="00034C37"/>
    <w:rsid w:val="0003699C"/>
    <w:rsid w:val="00040943"/>
    <w:rsid w:val="00041A8F"/>
    <w:rsid w:val="00042E11"/>
    <w:rsid w:val="0004397E"/>
    <w:rsid w:val="0004534D"/>
    <w:rsid w:val="000460A3"/>
    <w:rsid w:val="0004628D"/>
    <w:rsid w:val="00047F1D"/>
    <w:rsid w:val="00050092"/>
    <w:rsid w:val="000507C6"/>
    <w:rsid w:val="0005345F"/>
    <w:rsid w:val="000539D1"/>
    <w:rsid w:val="00054DA2"/>
    <w:rsid w:val="00056598"/>
    <w:rsid w:val="00056C71"/>
    <w:rsid w:val="000577FA"/>
    <w:rsid w:val="00061EEE"/>
    <w:rsid w:val="00062515"/>
    <w:rsid w:val="0006276C"/>
    <w:rsid w:val="000646CE"/>
    <w:rsid w:val="000652CC"/>
    <w:rsid w:val="00065DC5"/>
    <w:rsid w:val="00065E6A"/>
    <w:rsid w:val="000668CD"/>
    <w:rsid w:val="00066CFA"/>
    <w:rsid w:val="00067BD2"/>
    <w:rsid w:val="00070086"/>
    <w:rsid w:val="00070319"/>
    <w:rsid w:val="00070781"/>
    <w:rsid w:val="00070C4A"/>
    <w:rsid w:val="00071D75"/>
    <w:rsid w:val="0007240F"/>
    <w:rsid w:val="000724C6"/>
    <w:rsid w:val="00072C94"/>
    <w:rsid w:val="00073276"/>
    <w:rsid w:val="00073A57"/>
    <w:rsid w:val="00074EE6"/>
    <w:rsid w:val="00075098"/>
    <w:rsid w:val="00075658"/>
    <w:rsid w:val="00076AF6"/>
    <w:rsid w:val="0007723A"/>
    <w:rsid w:val="00081225"/>
    <w:rsid w:val="00081417"/>
    <w:rsid w:val="00081436"/>
    <w:rsid w:val="00081B4C"/>
    <w:rsid w:val="00083698"/>
    <w:rsid w:val="000854A6"/>
    <w:rsid w:val="00085A2C"/>
    <w:rsid w:val="00086330"/>
    <w:rsid w:val="0008635D"/>
    <w:rsid w:val="00086E8A"/>
    <w:rsid w:val="00086EB5"/>
    <w:rsid w:val="00087EE6"/>
    <w:rsid w:val="00090451"/>
    <w:rsid w:val="00090C29"/>
    <w:rsid w:val="00090D19"/>
    <w:rsid w:val="00091A5A"/>
    <w:rsid w:val="0009280C"/>
    <w:rsid w:val="00092A9F"/>
    <w:rsid w:val="000930AC"/>
    <w:rsid w:val="00094891"/>
    <w:rsid w:val="00094DA8"/>
    <w:rsid w:val="0009504F"/>
    <w:rsid w:val="0009507C"/>
    <w:rsid w:val="00095472"/>
    <w:rsid w:val="00095ACB"/>
    <w:rsid w:val="000A14C9"/>
    <w:rsid w:val="000A34C8"/>
    <w:rsid w:val="000A4DAF"/>
    <w:rsid w:val="000A7737"/>
    <w:rsid w:val="000A7D46"/>
    <w:rsid w:val="000B0111"/>
    <w:rsid w:val="000B02AB"/>
    <w:rsid w:val="000B0C88"/>
    <w:rsid w:val="000B1092"/>
    <w:rsid w:val="000B10CF"/>
    <w:rsid w:val="000B2DC8"/>
    <w:rsid w:val="000B3B9B"/>
    <w:rsid w:val="000B437B"/>
    <w:rsid w:val="000B43FE"/>
    <w:rsid w:val="000B5538"/>
    <w:rsid w:val="000B5C43"/>
    <w:rsid w:val="000B68D9"/>
    <w:rsid w:val="000C02CF"/>
    <w:rsid w:val="000C050D"/>
    <w:rsid w:val="000C0F8F"/>
    <w:rsid w:val="000C1E95"/>
    <w:rsid w:val="000C2746"/>
    <w:rsid w:val="000C3B0A"/>
    <w:rsid w:val="000C6399"/>
    <w:rsid w:val="000C6A30"/>
    <w:rsid w:val="000C6CC0"/>
    <w:rsid w:val="000C6EDC"/>
    <w:rsid w:val="000C7045"/>
    <w:rsid w:val="000C7502"/>
    <w:rsid w:val="000C7A30"/>
    <w:rsid w:val="000D070B"/>
    <w:rsid w:val="000D2433"/>
    <w:rsid w:val="000D2B7F"/>
    <w:rsid w:val="000D3275"/>
    <w:rsid w:val="000D3EC9"/>
    <w:rsid w:val="000D43DF"/>
    <w:rsid w:val="000D54FE"/>
    <w:rsid w:val="000D586E"/>
    <w:rsid w:val="000D5A21"/>
    <w:rsid w:val="000D6470"/>
    <w:rsid w:val="000D72FE"/>
    <w:rsid w:val="000E329F"/>
    <w:rsid w:val="000E360F"/>
    <w:rsid w:val="000E5308"/>
    <w:rsid w:val="000F0BD1"/>
    <w:rsid w:val="000F1712"/>
    <w:rsid w:val="000F1A9E"/>
    <w:rsid w:val="000F1D65"/>
    <w:rsid w:val="000F20C1"/>
    <w:rsid w:val="000F23AB"/>
    <w:rsid w:val="000F26A4"/>
    <w:rsid w:val="000F284C"/>
    <w:rsid w:val="000F287B"/>
    <w:rsid w:val="001000DC"/>
    <w:rsid w:val="0010076A"/>
    <w:rsid w:val="0010088B"/>
    <w:rsid w:val="001030DE"/>
    <w:rsid w:val="0010331C"/>
    <w:rsid w:val="0010423F"/>
    <w:rsid w:val="00104A5D"/>
    <w:rsid w:val="00104DBC"/>
    <w:rsid w:val="00104EE7"/>
    <w:rsid w:val="00105297"/>
    <w:rsid w:val="001055A0"/>
    <w:rsid w:val="00105AFF"/>
    <w:rsid w:val="001065CA"/>
    <w:rsid w:val="00107925"/>
    <w:rsid w:val="0011012C"/>
    <w:rsid w:val="00112B38"/>
    <w:rsid w:val="00113193"/>
    <w:rsid w:val="00113AD2"/>
    <w:rsid w:val="00115EFD"/>
    <w:rsid w:val="00116291"/>
    <w:rsid w:val="00116E37"/>
    <w:rsid w:val="0011708C"/>
    <w:rsid w:val="00117CEC"/>
    <w:rsid w:val="0012106F"/>
    <w:rsid w:val="0012337A"/>
    <w:rsid w:val="00124E64"/>
    <w:rsid w:val="0012545C"/>
    <w:rsid w:val="00126C2E"/>
    <w:rsid w:val="00127940"/>
    <w:rsid w:val="00127BBA"/>
    <w:rsid w:val="001303A8"/>
    <w:rsid w:val="001307F0"/>
    <w:rsid w:val="00130C4B"/>
    <w:rsid w:val="00131429"/>
    <w:rsid w:val="00133858"/>
    <w:rsid w:val="00134968"/>
    <w:rsid w:val="00136727"/>
    <w:rsid w:val="001367BA"/>
    <w:rsid w:val="00140039"/>
    <w:rsid w:val="00140974"/>
    <w:rsid w:val="00140BAE"/>
    <w:rsid w:val="00142BEE"/>
    <w:rsid w:val="00142C50"/>
    <w:rsid w:val="00142D0C"/>
    <w:rsid w:val="00144B9B"/>
    <w:rsid w:val="00144C17"/>
    <w:rsid w:val="00144F21"/>
    <w:rsid w:val="001457FB"/>
    <w:rsid w:val="00146A06"/>
    <w:rsid w:val="00146E3D"/>
    <w:rsid w:val="0015003A"/>
    <w:rsid w:val="001502D0"/>
    <w:rsid w:val="00150725"/>
    <w:rsid w:val="00151F52"/>
    <w:rsid w:val="001545A6"/>
    <w:rsid w:val="00154D36"/>
    <w:rsid w:val="001550F3"/>
    <w:rsid w:val="001552FA"/>
    <w:rsid w:val="00156756"/>
    <w:rsid w:val="00156B4E"/>
    <w:rsid w:val="00157595"/>
    <w:rsid w:val="001576CB"/>
    <w:rsid w:val="0016057B"/>
    <w:rsid w:val="001611A9"/>
    <w:rsid w:val="001629CE"/>
    <w:rsid w:val="0016598F"/>
    <w:rsid w:val="00165D4B"/>
    <w:rsid w:val="00166196"/>
    <w:rsid w:val="001662DB"/>
    <w:rsid w:val="0016654E"/>
    <w:rsid w:val="001712CC"/>
    <w:rsid w:val="00171346"/>
    <w:rsid w:val="0017184B"/>
    <w:rsid w:val="00172C42"/>
    <w:rsid w:val="00174701"/>
    <w:rsid w:val="00174B3A"/>
    <w:rsid w:val="001771F6"/>
    <w:rsid w:val="00177B0F"/>
    <w:rsid w:val="00177DE0"/>
    <w:rsid w:val="0018007C"/>
    <w:rsid w:val="00180CD2"/>
    <w:rsid w:val="001811D1"/>
    <w:rsid w:val="001829B4"/>
    <w:rsid w:val="00182F9B"/>
    <w:rsid w:val="001835DD"/>
    <w:rsid w:val="001839FE"/>
    <w:rsid w:val="00183CA9"/>
    <w:rsid w:val="0018487A"/>
    <w:rsid w:val="001857B4"/>
    <w:rsid w:val="00185B37"/>
    <w:rsid w:val="0018783F"/>
    <w:rsid w:val="00187EF6"/>
    <w:rsid w:val="0019251F"/>
    <w:rsid w:val="00193154"/>
    <w:rsid w:val="00193EC7"/>
    <w:rsid w:val="001946BD"/>
    <w:rsid w:val="001954EB"/>
    <w:rsid w:val="00195679"/>
    <w:rsid w:val="001A608B"/>
    <w:rsid w:val="001A6ABD"/>
    <w:rsid w:val="001A7E30"/>
    <w:rsid w:val="001B1AEF"/>
    <w:rsid w:val="001B3313"/>
    <w:rsid w:val="001B41D9"/>
    <w:rsid w:val="001B47A1"/>
    <w:rsid w:val="001B490F"/>
    <w:rsid w:val="001B5229"/>
    <w:rsid w:val="001B5641"/>
    <w:rsid w:val="001B6896"/>
    <w:rsid w:val="001C07C3"/>
    <w:rsid w:val="001C0A20"/>
    <w:rsid w:val="001C0E19"/>
    <w:rsid w:val="001C11AC"/>
    <w:rsid w:val="001C17BF"/>
    <w:rsid w:val="001C1C9B"/>
    <w:rsid w:val="001C2D95"/>
    <w:rsid w:val="001C3D11"/>
    <w:rsid w:val="001C6256"/>
    <w:rsid w:val="001C71D5"/>
    <w:rsid w:val="001C7A57"/>
    <w:rsid w:val="001C7A9B"/>
    <w:rsid w:val="001C7E02"/>
    <w:rsid w:val="001D0300"/>
    <w:rsid w:val="001D0843"/>
    <w:rsid w:val="001D1686"/>
    <w:rsid w:val="001D400E"/>
    <w:rsid w:val="001D40D9"/>
    <w:rsid w:val="001D4FAE"/>
    <w:rsid w:val="001D7B26"/>
    <w:rsid w:val="001D7E84"/>
    <w:rsid w:val="001E0C2D"/>
    <w:rsid w:val="001E1612"/>
    <w:rsid w:val="001E16B3"/>
    <w:rsid w:val="001E2293"/>
    <w:rsid w:val="001E3453"/>
    <w:rsid w:val="001E4353"/>
    <w:rsid w:val="001E5284"/>
    <w:rsid w:val="001E599E"/>
    <w:rsid w:val="001E6E64"/>
    <w:rsid w:val="001E75D4"/>
    <w:rsid w:val="001F082A"/>
    <w:rsid w:val="001F0F56"/>
    <w:rsid w:val="001F25A2"/>
    <w:rsid w:val="001F2D5F"/>
    <w:rsid w:val="001F49D7"/>
    <w:rsid w:val="001F57CF"/>
    <w:rsid w:val="001F5827"/>
    <w:rsid w:val="001F5F8C"/>
    <w:rsid w:val="001F6408"/>
    <w:rsid w:val="001F6DB5"/>
    <w:rsid w:val="001F7ABE"/>
    <w:rsid w:val="002022A9"/>
    <w:rsid w:val="00203ECE"/>
    <w:rsid w:val="0020401C"/>
    <w:rsid w:val="0020421F"/>
    <w:rsid w:val="00206B1D"/>
    <w:rsid w:val="0020701D"/>
    <w:rsid w:val="00207052"/>
    <w:rsid w:val="002102F8"/>
    <w:rsid w:val="00210BC8"/>
    <w:rsid w:val="00211B6D"/>
    <w:rsid w:val="002125D3"/>
    <w:rsid w:val="00213236"/>
    <w:rsid w:val="002145A2"/>
    <w:rsid w:val="002147E3"/>
    <w:rsid w:val="00214D6B"/>
    <w:rsid w:val="00215325"/>
    <w:rsid w:val="00216B40"/>
    <w:rsid w:val="00217B6D"/>
    <w:rsid w:val="00217BA7"/>
    <w:rsid w:val="00217FC4"/>
    <w:rsid w:val="00220F13"/>
    <w:rsid w:val="00220FDA"/>
    <w:rsid w:val="002229B0"/>
    <w:rsid w:val="00223330"/>
    <w:rsid w:val="00224102"/>
    <w:rsid w:val="00224651"/>
    <w:rsid w:val="002249D0"/>
    <w:rsid w:val="002263F9"/>
    <w:rsid w:val="002275C5"/>
    <w:rsid w:val="00230265"/>
    <w:rsid w:val="00230D06"/>
    <w:rsid w:val="00231495"/>
    <w:rsid w:val="00231D94"/>
    <w:rsid w:val="00232562"/>
    <w:rsid w:val="00233AF4"/>
    <w:rsid w:val="00233B65"/>
    <w:rsid w:val="00233EAE"/>
    <w:rsid w:val="002355A4"/>
    <w:rsid w:val="00236E0A"/>
    <w:rsid w:val="0023787A"/>
    <w:rsid w:val="00240288"/>
    <w:rsid w:val="00241430"/>
    <w:rsid w:val="002414BE"/>
    <w:rsid w:val="00242281"/>
    <w:rsid w:val="00243348"/>
    <w:rsid w:val="00243D30"/>
    <w:rsid w:val="002455D9"/>
    <w:rsid w:val="002460D6"/>
    <w:rsid w:val="00246974"/>
    <w:rsid w:val="00250C0E"/>
    <w:rsid w:val="002519EA"/>
    <w:rsid w:val="00251B7F"/>
    <w:rsid w:val="00251F1A"/>
    <w:rsid w:val="00253A45"/>
    <w:rsid w:val="002547EC"/>
    <w:rsid w:val="00254D27"/>
    <w:rsid w:val="00256F9B"/>
    <w:rsid w:val="00260B78"/>
    <w:rsid w:val="00260E7C"/>
    <w:rsid w:val="00260FD0"/>
    <w:rsid w:val="00261AB0"/>
    <w:rsid w:val="00261C9A"/>
    <w:rsid w:val="00261F4B"/>
    <w:rsid w:val="002621F0"/>
    <w:rsid w:val="002629E3"/>
    <w:rsid w:val="00262DBA"/>
    <w:rsid w:val="002634FB"/>
    <w:rsid w:val="0026362F"/>
    <w:rsid w:val="00263D58"/>
    <w:rsid w:val="00264543"/>
    <w:rsid w:val="00265032"/>
    <w:rsid w:val="00265071"/>
    <w:rsid w:val="002653D8"/>
    <w:rsid w:val="002659C4"/>
    <w:rsid w:val="00265B54"/>
    <w:rsid w:val="00265F23"/>
    <w:rsid w:val="00265F47"/>
    <w:rsid w:val="0026602A"/>
    <w:rsid w:val="00267030"/>
    <w:rsid w:val="00267FFE"/>
    <w:rsid w:val="00270C59"/>
    <w:rsid w:val="002710FE"/>
    <w:rsid w:val="0027191E"/>
    <w:rsid w:val="00271D5E"/>
    <w:rsid w:val="002729D7"/>
    <w:rsid w:val="00272C1D"/>
    <w:rsid w:val="00272E11"/>
    <w:rsid w:val="00274C8D"/>
    <w:rsid w:val="0027538D"/>
    <w:rsid w:val="002758F7"/>
    <w:rsid w:val="002801D6"/>
    <w:rsid w:val="00280234"/>
    <w:rsid w:val="00282D78"/>
    <w:rsid w:val="00283B07"/>
    <w:rsid w:val="00283F43"/>
    <w:rsid w:val="0028419D"/>
    <w:rsid w:val="002856FC"/>
    <w:rsid w:val="00285BA1"/>
    <w:rsid w:val="00286BFF"/>
    <w:rsid w:val="0028752E"/>
    <w:rsid w:val="00287D9D"/>
    <w:rsid w:val="00290426"/>
    <w:rsid w:val="002904BE"/>
    <w:rsid w:val="00291606"/>
    <w:rsid w:val="0029288F"/>
    <w:rsid w:val="00292945"/>
    <w:rsid w:val="00293C9C"/>
    <w:rsid w:val="00294C9A"/>
    <w:rsid w:val="00295AC0"/>
    <w:rsid w:val="002963E9"/>
    <w:rsid w:val="00296ED4"/>
    <w:rsid w:val="00297140"/>
    <w:rsid w:val="002977E6"/>
    <w:rsid w:val="00297981"/>
    <w:rsid w:val="002A1A07"/>
    <w:rsid w:val="002A2800"/>
    <w:rsid w:val="002A2C36"/>
    <w:rsid w:val="002A4629"/>
    <w:rsid w:val="002A4653"/>
    <w:rsid w:val="002A56C1"/>
    <w:rsid w:val="002A5D43"/>
    <w:rsid w:val="002A615D"/>
    <w:rsid w:val="002A75DA"/>
    <w:rsid w:val="002A780F"/>
    <w:rsid w:val="002A7CD2"/>
    <w:rsid w:val="002B02B6"/>
    <w:rsid w:val="002B0CE6"/>
    <w:rsid w:val="002B25AF"/>
    <w:rsid w:val="002B3ED8"/>
    <w:rsid w:val="002B434D"/>
    <w:rsid w:val="002B4AF0"/>
    <w:rsid w:val="002B5EDE"/>
    <w:rsid w:val="002B6585"/>
    <w:rsid w:val="002B661B"/>
    <w:rsid w:val="002B6A78"/>
    <w:rsid w:val="002B6B15"/>
    <w:rsid w:val="002B7958"/>
    <w:rsid w:val="002C1603"/>
    <w:rsid w:val="002C1ABC"/>
    <w:rsid w:val="002C28F6"/>
    <w:rsid w:val="002C2AC3"/>
    <w:rsid w:val="002C64D9"/>
    <w:rsid w:val="002C652B"/>
    <w:rsid w:val="002C7D5B"/>
    <w:rsid w:val="002C7EBF"/>
    <w:rsid w:val="002D00E0"/>
    <w:rsid w:val="002D122B"/>
    <w:rsid w:val="002D31B5"/>
    <w:rsid w:val="002D6885"/>
    <w:rsid w:val="002D6F9C"/>
    <w:rsid w:val="002E0720"/>
    <w:rsid w:val="002E0ED8"/>
    <w:rsid w:val="002E1FA4"/>
    <w:rsid w:val="002E43C5"/>
    <w:rsid w:val="002E4686"/>
    <w:rsid w:val="002E4C60"/>
    <w:rsid w:val="002E5465"/>
    <w:rsid w:val="002E59D9"/>
    <w:rsid w:val="002F0BBE"/>
    <w:rsid w:val="002F13DB"/>
    <w:rsid w:val="002F14A5"/>
    <w:rsid w:val="002F1D95"/>
    <w:rsid w:val="002F1EFD"/>
    <w:rsid w:val="002F2884"/>
    <w:rsid w:val="002F2926"/>
    <w:rsid w:val="002F2952"/>
    <w:rsid w:val="002F2CF1"/>
    <w:rsid w:val="002F2E1D"/>
    <w:rsid w:val="002F3017"/>
    <w:rsid w:val="002F421C"/>
    <w:rsid w:val="002F423C"/>
    <w:rsid w:val="002F43F2"/>
    <w:rsid w:val="002F5729"/>
    <w:rsid w:val="002F5B4C"/>
    <w:rsid w:val="002F6120"/>
    <w:rsid w:val="002F6948"/>
    <w:rsid w:val="002F69AF"/>
    <w:rsid w:val="002F6F42"/>
    <w:rsid w:val="002F7764"/>
    <w:rsid w:val="002F7ED8"/>
    <w:rsid w:val="003007A6"/>
    <w:rsid w:val="00301B6D"/>
    <w:rsid w:val="00305105"/>
    <w:rsid w:val="00305335"/>
    <w:rsid w:val="00306409"/>
    <w:rsid w:val="00310618"/>
    <w:rsid w:val="00310C9A"/>
    <w:rsid w:val="00311636"/>
    <w:rsid w:val="00312945"/>
    <w:rsid w:val="00313137"/>
    <w:rsid w:val="003131CE"/>
    <w:rsid w:val="0031464B"/>
    <w:rsid w:val="003159AD"/>
    <w:rsid w:val="00316F95"/>
    <w:rsid w:val="0032050D"/>
    <w:rsid w:val="00320704"/>
    <w:rsid w:val="00320ABB"/>
    <w:rsid w:val="00320D92"/>
    <w:rsid w:val="0032122F"/>
    <w:rsid w:val="003215EC"/>
    <w:rsid w:val="00321C9A"/>
    <w:rsid w:val="00321CC9"/>
    <w:rsid w:val="0032240E"/>
    <w:rsid w:val="003234ED"/>
    <w:rsid w:val="003239B5"/>
    <w:rsid w:val="00323A07"/>
    <w:rsid w:val="00325372"/>
    <w:rsid w:val="003255BD"/>
    <w:rsid w:val="00325AF6"/>
    <w:rsid w:val="00326549"/>
    <w:rsid w:val="00326ED3"/>
    <w:rsid w:val="00327126"/>
    <w:rsid w:val="0032759F"/>
    <w:rsid w:val="00327F6B"/>
    <w:rsid w:val="003319E2"/>
    <w:rsid w:val="003324A9"/>
    <w:rsid w:val="0033265E"/>
    <w:rsid w:val="00332C78"/>
    <w:rsid w:val="00333385"/>
    <w:rsid w:val="003347FF"/>
    <w:rsid w:val="003351EE"/>
    <w:rsid w:val="00336818"/>
    <w:rsid w:val="00337548"/>
    <w:rsid w:val="00337F22"/>
    <w:rsid w:val="00340E5C"/>
    <w:rsid w:val="00341603"/>
    <w:rsid w:val="00341E3C"/>
    <w:rsid w:val="00342402"/>
    <w:rsid w:val="003435AA"/>
    <w:rsid w:val="00343AE3"/>
    <w:rsid w:val="00343CD2"/>
    <w:rsid w:val="003461E4"/>
    <w:rsid w:val="0034638D"/>
    <w:rsid w:val="00347227"/>
    <w:rsid w:val="00347720"/>
    <w:rsid w:val="00347A86"/>
    <w:rsid w:val="00350CCC"/>
    <w:rsid w:val="0035185E"/>
    <w:rsid w:val="003518BB"/>
    <w:rsid w:val="003518ED"/>
    <w:rsid w:val="0035207B"/>
    <w:rsid w:val="003522C3"/>
    <w:rsid w:val="003524B1"/>
    <w:rsid w:val="003524D3"/>
    <w:rsid w:val="00353D6D"/>
    <w:rsid w:val="00354BBF"/>
    <w:rsid w:val="00355CC5"/>
    <w:rsid w:val="00356B5D"/>
    <w:rsid w:val="00357282"/>
    <w:rsid w:val="00361120"/>
    <w:rsid w:val="00362481"/>
    <w:rsid w:val="00362A8E"/>
    <w:rsid w:val="00366207"/>
    <w:rsid w:val="00366690"/>
    <w:rsid w:val="00366855"/>
    <w:rsid w:val="0037008B"/>
    <w:rsid w:val="00374624"/>
    <w:rsid w:val="003768B7"/>
    <w:rsid w:val="00376968"/>
    <w:rsid w:val="00376D6B"/>
    <w:rsid w:val="00377767"/>
    <w:rsid w:val="0038025C"/>
    <w:rsid w:val="00380264"/>
    <w:rsid w:val="00380267"/>
    <w:rsid w:val="00380313"/>
    <w:rsid w:val="00380B7F"/>
    <w:rsid w:val="003811C9"/>
    <w:rsid w:val="00381539"/>
    <w:rsid w:val="0038165D"/>
    <w:rsid w:val="00381C74"/>
    <w:rsid w:val="00381FB8"/>
    <w:rsid w:val="003829FC"/>
    <w:rsid w:val="00382C04"/>
    <w:rsid w:val="00383092"/>
    <w:rsid w:val="00383563"/>
    <w:rsid w:val="00383A2C"/>
    <w:rsid w:val="0038423E"/>
    <w:rsid w:val="0038561C"/>
    <w:rsid w:val="00385CFC"/>
    <w:rsid w:val="00387182"/>
    <w:rsid w:val="00391290"/>
    <w:rsid w:val="00391911"/>
    <w:rsid w:val="003923A2"/>
    <w:rsid w:val="00392484"/>
    <w:rsid w:val="003928B4"/>
    <w:rsid w:val="00393038"/>
    <w:rsid w:val="00393C37"/>
    <w:rsid w:val="00394057"/>
    <w:rsid w:val="00394CDC"/>
    <w:rsid w:val="003976E0"/>
    <w:rsid w:val="00397EBB"/>
    <w:rsid w:val="003A08C6"/>
    <w:rsid w:val="003A276E"/>
    <w:rsid w:val="003A3CFB"/>
    <w:rsid w:val="003A4121"/>
    <w:rsid w:val="003A49F3"/>
    <w:rsid w:val="003A4B4C"/>
    <w:rsid w:val="003A5285"/>
    <w:rsid w:val="003A5BDF"/>
    <w:rsid w:val="003A5F90"/>
    <w:rsid w:val="003A6C02"/>
    <w:rsid w:val="003A6F33"/>
    <w:rsid w:val="003A72B6"/>
    <w:rsid w:val="003A7D0B"/>
    <w:rsid w:val="003B01CE"/>
    <w:rsid w:val="003B1BCA"/>
    <w:rsid w:val="003B3C1E"/>
    <w:rsid w:val="003B3C3C"/>
    <w:rsid w:val="003B47EF"/>
    <w:rsid w:val="003B5E94"/>
    <w:rsid w:val="003B6557"/>
    <w:rsid w:val="003B6D4D"/>
    <w:rsid w:val="003B75B2"/>
    <w:rsid w:val="003C0261"/>
    <w:rsid w:val="003C0F97"/>
    <w:rsid w:val="003C2FB2"/>
    <w:rsid w:val="003C38A9"/>
    <w:rsid w:val="003C39B9"/>
    <w:rsid w:val="003C40F1"/>
    <w:rsid w:val="003C5297"/>
    <w:rsid w:val="003C5B15"/>
    <w:rsid w:val="003C6556"/>
    <w:rsid w:val="003C76EB"/>
    <w:rsid w:val="003C7808"/>
    <w:rsid w:val="003C7A20"/>
    <w:rsid w:val="003C7F24"/>
    <w:rsid w:val="003D0188"/>
    <w:rsid w:val="003D2786"/>
    <w:rsid w:val="003D2C47"/>
    <w:rsid w:val="003D3CE4"/>
    <w:rsid w:val="003D5154"/>
    <w:rsid w:val="003D59B2"/>
    <w:rsid w:val="003D6071"/>
    <w:rsid w:val="003D6E54"/>
    <w:rsid w:val="003D7194"/>
    <w:rsid w:val="003E050B"/>
    <w:rsid w:val="003E05BE"/>
    <w:rsid w:val="003E064B"/>
    <w:rsid w:val="003E1B6D"/>
    <w:rsid w:val="003E280D"/>
    <w:rsid w:val="003E4256"/>
    <w:rsid w:val="003E4436"/>
    <w:rsid w:val="003E5D9C"/>
    <w:rsid w:val="003E6A9D"/>
    <w:rsid w:val="003E6F1B"/>
    <w:rsid w:val="003F062B"/>
    <w:rsid w:val="003F09C6"/>
    <w:rsid w:val="003F205C"/>
    <w:rsid w:val="003F46C1"/>
    <w:rsid w:val="003F4A75"/>
    <w:rsid w:val="003F534B"/>
    <w:rsid w:val="003F553C"/>
    <w:rsid w:val="003F66FD"/>
    <w:rsid w:val="003F729A"/>
    <w:rsid w:val="003F7555"/>
    <w:rsid w:val="003F7B78"/>
    <w:rsid w:val="003F7D4D"/>
    <w:rsid w:val="0040131F"/>
    <w:rsid w:val="00401705"/>
    <w:rsid w:val="004038D6"/>
    <w:rsid w:val="00404421"/>
    <w:rsid w:val="004053FE"/>
    <w:rsid w:val="00406A49"/>
    <w:rsid w:val="00412C56"/>
    <w:rsid w:val="004131C7"/>
    <w:rsid w:val="00413424"/>
    <w:rsid w:val="0041413F"/>
    <w:rsid w:val="00414439"/>
    <w:rsid w:val="00414710"/>
    <w:rsid w:val="00414920"/>
    <w:rsid w:val="00414B28"/>
    <w:rsid w:val="0041636F"/>
    <w:rsid w:val="00416A56"/>
    <w:rsid w:val="00416E9A"/>
    <w:rsid w:val="00417B45"/>
    <w:rsid w:val="00417D9F"/>
    <w:rsid w:val="0042122A"/>
    <w:rsid w:val="004219A5"/>
    <w:rsid w:val="00422447"/>
    <w:rsid w:val="00422E0C"/>
    <w:rsid w:val="00422EAA"/>
    <w:rsid w:val="00426598"/>
    <w:rsid w:val="00426C28"/>
    <w:rsid w:val="00426E41"/>
    <w:rsid w:val="004305CD"/>
    <w:rsid w:val="004314DD"/>
    <w:rsid w:val="0043238E"/>
    <w:rsid w:val="004335EA"/>
    <w:rsid w:val="004348B4"/>
    <w:rsid w:val="00434BF6"/>
    <w:rsid w:val="00434BF7"/>
    <w:rsid w:val="00434F6C"/>
    <w:rsid w:val="00435553"/>
    <w:rsid w:val="004357AE"/>
    <w:rsid w:val="00437109"/>
    <w:rsid w:val="00437D02"/>
    <w:rsid w:val="004410CE"/>
    <w:rsid w:val="00441288"/>
    <w:rsid w:val="004425C9"/>
    <w:rsid w:val="004447BE"/>
    <w:rsid w:val="004450AE"/>
    <w:rsid w:val="004475AB"/>
    <w:rsid w:val="004502DB"/>
    <w:rsid w:val="00451BA5"/>
    <w:rsid w:val="00452D40"/>
    <w:rsid w:val="004535DD"/>
    <w:rsid w:val="00454893"/>
    <w:rsid w:val="00454969"/>
    <w:rsid w:val="00454D97"/>
    <w:rsid w:val="00455A9F"/>
    <w:rsid w:val="00456250"/>
    <w:rsid w:val="00461F3E"/>
    <w:rsid w:val="00462A1A"/>
    <w:rsid w:val="00462B1B"/>
    <w:rsid w:val="00462B23"/>
    <w:rsid w:val="00462FAB"/>
    <w:rsid w:val="00463362"/>
    <w:rsid w:val="00463AB0"/>
    <w:rsid w:val="00464ADC"/>
    <w:rsid w:val="00466A4B"/>
    <w:rsid w:val="00467672"/>
    <w:rsid w:val="004700C6"/>
    <w:rsid w:val="00470829"/>
    <w:rsid w:val="0047098C"/>
    <w:rsid w:val="00470EF4"/>
    <w:rsid w:val="00472C61"/>
    <w:rsid w:val="00472DA2"/>
    <w:rsid w:val="00472F2A"/>
    <w:rsid w:val="00472F59"/>
    <w:rsid w:val="0047334B"/>
    <w:rsid w:val="00473FA4"/>
    <w:rsid w:val="00474111"/>
    <w:rsid w:val="0047547B"/>
    <w:rsid w:val="00476E85"/>
    <w:rsid w:val="00480191"/>
    <w:rsid w:val="0048046B"/>
    <w:rsid w:val="004808F2"/>
    <w:rsid w:val="00480B21"/>
    <w:rsid w:val="00481F7C"/>
    <w:rsid w:val="0048274C"/>
    <w:rsid w:val="00482E9A"/>
    <w:rsid w:val="00483B03"/>
    <w:rsid w:val="00485373"/>
    <w:rsid w:val="00485CB9"/>
    <w:rsid w:val="00485E78"/>
    <w:rsid w:val="004860FD"/>
    <w:rsid w:val="004861A5"/>
    <w:rsid w:val="00486905"/>
    <w:rsid w:val="00487322"/>
    <w:rsid w:val="004905C7"/>
    <w:rsid w:val="00490EC4"/>
    <w:rsid w:val="00494582"/>
    <w:rsid w:val="00495C1C"/>
    <w:rsid w:val="00495EDA"/>
    <w:rsid w:val="00496376"/>
    <w:rsid w:val="004968CC"/>
    <w:rsid w:val="004A05CA"/>
    <w:rsid w:val="004A11D6"/>
    <w:rsid w:val="004A1CEA"/>
    <w:rsid w:val="004A34AB"/>
    <w:rsid w:val="004A34F5"/>
    <w:rsid w:val="004A37A6"/>
    <w:rsid w:val="004A3BE5"/>
    <w:rsid w:val="004A421E"/>
    <w:rsid w:val="004A47C7"/>
    <w:rsid w:val="004A5246"/>
    <w:rsid w:val="004A5C46"/>
    <w:rsid w:val="004A756F"/>
    <w:rsid w:val="004B0A23"/>
    <w:rsid w:val="004B1588"/>
    <w:rsid w:val="004B25D2"/>
    <w:rsid w:val="004B2D71"/>
    <w:rsid w:val="004B37D8"/>
    <w:rsid w:val="004B47AB"/>
    <w:rsid w:val="004B55C3"/>
    <w:rsid w:val="004B57CA"/>
    <w:rsid w:val="004B592F"/>
    <w:rsid w:val="004B704B"/>
    <w:rsid w:val="004B718B"/>
    <w:rsid w:val="004B760A"/>
    <w:rsid w:val="004C032F"/>
    <w:rsid w:val="004C0424"/>
    <w:rsid w:val="004C11A9"/>
    <w:rsid w:val="004C2927"/>
    <w:rsid w:val="004C4457"/>
    <w:rsid w:val="004C533A"/>
    <w:rsid w:val="004C57BB"/>
    <w:rsid w:val="004C6B7A"/>
    <w:rsid w:val="004C6F9C"/>
    <w:rsid w:val="004C6FAE"/>
    <w:rsid w:val="004C7DCF"/>
    <w:rsid w:val="004D0023"/>
    <w:rsid w:val="004D09CE"/>
    <w:rsid w:val="004D0DC5"/>
    <w:rsid w:val="004D0EA1"/>
    <w:rsid w:val="004D0EB2"/>
    <w:rsid w:val="004D13F9"/>
    <w:rsid w:val="004D297F"/>
    <w:rsid w:val="004D37E7"/>
    <w:rsid w:val="004D3A0D"/>
    <w:rsid w:val="004D44A2"/>
    <w:rsid w:val="004D4CF4"/>
    <w:rsid w:val="004D4E48"/>
    <w:rsid w:val="004D5006"/>
    <w:rsid w:val="004D6068"/>
    <w:rsid w:val="004D6324"/>
    <w:rsid w:val="004E36CE"/>
    <w:rsid w:val="004E3F8A"/>
    <w:rsid w:val="004E4B38"/>
    <w:rsid w:val="004E6DA4"/>
    <w:rsid w:val="004E7F15"/>
    <w:rsid w:val="004F02DF"/>
    <w:rsid w:val="004F1208"/>
    <w:rsid w:val="004F409F"/>
    <w:rsid w:val="004F4C5F"/>
    <w:rsid w:val="004F53F8"/>
    <w:rsid w:val="004F5E86"/>
    <w:rsid w:val="004F6154"/>
    <w:rsid w:val="004F6957"/>
    <w:rsid w:val="004F7109"/>
    <w:rsid w:val="004F7157"/>
    <w:rsid w:val="004F7CDD"/>
    <w:rsid w:val="005006AB"/>
    <w:rsid w:val="005007FF"/>
    <w:rsid w:val="00502E40"/>
    <w:rsid w:val="00503132"/>
    <w:rsid w:val="00503499"/>
    <w:rsid w:val="005035C9"/>
    <w:rsid w:val="00503ED5"/>
    <w:rsid w:val="00506348"/>
    <w:rsid w:val="005102E3"/>
    <w:rsid w:val="00511336"/>
    <w:rsid w:val="005113CA"/>
    <w:rsid w:val="00511786"/>
    <w:rsid w:val="00511EE2"/>
    <w:rsid w:val="00512035"/>
    <w:rsid w:val="00512C84"/>
    <w:rsid w:val="005139FB"/>
    <w:rsid w:val="00513DD1"/>
    <w:rsid w:val="00514A5C"/>
    <w:rsid w:val="00514A8A"/>
    <w:rsid w:val="00514C65"/>
    <w:rsid w:val="00516190"/>
    <w:rsid w:val="005165FF"/>
    <w:rsid w:val="00517A88"/>
    <w:rsid w:val="00520016"/>
    <w:rsid w:val="005200FF"/>
    <w:rsid w:val="0052019B"/>
    <w:rsid w:val="00521999"/>
    <w:rsid w:val="00521BED"/>
    <w:rsid w:val="00521DF8"/>
    <w:rsid w:val="005222B7"/>
    <w:rsid w:val="00524E2A"/>
    <w:rsid w:val="00525693"/>
    <w:rsid w:val="00525A93"/>
    <w:rsid w:val="00526088"/>
    <w:rsid w:val="00526705"/>
    <w:rsid w:val="00526E39"/>
    <w:rsid w:val="00527F70"/>
    <w:rsid w:val="005309E1"/>
    <w:rsid w:val="00531239"/>
    <w:rsid w:val="00531DF1"/>
    <w:rsid w:val="0053479D"/>
    <w:rsid w:val="00534F6A"/>
    <w:rsid w:val="00535E4C"/>
    <w:rsid w:val="00540A0F"/>
    <w:rsid w:val="00540FA7"/>
    <w:rsid w:val="00541412"/>
    <w:rsid w:val="00542BB4"/>
    <w:rsid w:val="005455AF"/>
    <w:rsid w:val="00545B77"/>
    <w:rsid w:val="0054725D"/>
    <w:rsid w:val="0054760C"/>
    <w:rsid w:val="00547738"/>
    <w:rsid w:val="00547B05"/>
    <w:rsid w:val="0055279F"/>
    <w:rsid w:val="00552946"/>
    <w:rsid w:val="00552A48"/>
    <w:rsid w:val="00552C80"/>
    <w:rsid w:val="00553DEF"/>
    <w:rsid w:val="00553FE5"/>
    <w:rsid w:val="0055438A"/>
    <w:rsid w:val="00555772"/>
    <w:rsid w:val="00556059"/>
    <w:rsid w:val="00560BE2"/>
    <w:rsid w:val="00561723"/>
    <w:rsid w:val="00563F24"/>
    <w:rsid w:val="00564668"/>
    <w:rsid w:val="00564C7D"/>
    <w:rsid w:val="00564E22"/>
    <w:rsid w:val="00565F20"/>
    <w:rsid w:val="005669AD"/>
    <w:rsid w:val="00567D37"/>
    <w:rsid w:val="00570B3D"/>
    <w:rsid w:val="00570EB7"/>
    <w:rsid w:val="005715EA"/>
    <w:rsid w:val="00571859"/>
    <w:rsid w:val="00571CBE"/>
    <w:rsid w:val="00572E95"/>
    <w:rsid w:val="00573624"/>
    <w:rsid w:val="005740DA"/>
    <w:rsid w:val="00575A2F"/>
    <w:rsid w:val="005764E4"/>
    <w:rsid w:val="00576D40"/>
    <w:rsid w:val="0057770F"/>
    <w:rsid w:val="00577833"/>
    <w:rsid w:val="00577C0E"/>
    <w:rsid w:val="005803A2"/>
    <w:rsid w:val="00581E1B"/>
    <w:rsid w:val="0058466C"/>
    <w:rsid w:val="00585929"/>
    <w:rsid w:val="00590149"/>
    <w:rsid w:val="00590614"/>
    <w:rsid w:val="00591248"/>
    <w:rsid w:val="005912A6"/>
    <w:rsid w:val="00592558"/>
    <w:rsid w:val="0059280D"/>
    <w:rsid w:val="00593596"/>
    <w:rsid w:val="00593822"/>
    <w:rsid w:val="00593A92"/>
    <w:rsid w:val="00594D83"/>
    <w:rsid w:val="005973D0"/>
    <w:rsid w:val="005A29F5"/>
    <w:rsid w:val="005A351F"/>
    <w:rsid w:val="005A5EFC"/>
    <w:rsid w:val="005A6529"/>
    <w:rsid w:val="005A6F52"/>
    <w:rsid w:val="005B0E7D"/>
    <w:rsid w:val="005B1E02"/>
    <w:rsid w:val="005B264F"/>
    <w:rsid w:val="005B277D"/>
    <w:rsid w:val="005B3136"/>
    <w:rsid w:val="005B4276"/>
    <w:rsid w:val="005B4C63"/>
    <w:rsid w:val="005B4D05"/>
    <w:rsid w:val="005B6477"/>
    <w:rsid w:val="005B7D9E"/>
    <w:rsid w:val="005C0F08"/>
    <w:rsid w:val="005C1739"/>
    <w:rsid w:val="005C202C"/>
    <w:rsid w:val="005C4302"/>
    <w:rsid w:val="005C45ED"/>
    <w:rsid w:val="005C5307"/>
    <w:rsid w:val="005C5E92"/>
    <w:rsid w:val="005C72BE"/>
    <w:rsid w:val="005D04DC"/>
    <w:rsid w:val="005D092C"/>
    <w:rsid w:val="005D0970"/>
    <w:rsid w:val="005D10EA"/>
    <w:rsid w:val="005D31AC"/>
    <w:rsid w:val="005D416F"/>
    <w:rsid w:val="005D55F8"/>
    <w:rsid w:val="005D60A0"/>
    <w:rsid w:val="005D6DE0"/>
    <w:rsid w:val="005D70E9"/>
    <w:rsid w:val="005D7DCD"/>
    <w:rsid w:val="005E1347"/>
    <w:rsid w:val="005E3564"/>
    <w:rsid w:val="005E5CB3"/>
    <w:rsid w:val="005E6A64"/>
    <w:rsid w:val="005E70CE"/>
    <w:rsid w:val="005E7E01"/>
    <w:rsid w:val="005F2679"/>
    <w:rsid w:val="005F300E"/>
    <w:rsid w:val="005F742E"/>
    <w:rsid w:val="005F7B1C"/>
    <w:rsid w:val="0060073D"/>
    <w:rsid w:val="00600FF7"/>
    <w:rsid w:val="006016D8"/>
    <w:rsid w:val="00601908"/>
    <w:rsid w:val="0060269E"/>
    <w:rsid w:val="006036F2"/>
    <w:rsid w:val="00603BA8"/>
    <w:rsid w:val="006040C6"/>
    <w:rsid w:val="00604225"/>
    <w:rsid w:val="0060518F"/>
    <w:rsid w:val="0060545B"/>
    <w:rsid w:val="00605508"/>
    <w:rsid w:val="00610806"/>
    <w:rsid w:val="0061129E"/>
    <w:rsid w:val="00611910"/>
    <w:rsid w:val="0061250F"/>
    <w:rsid w:val="00613DA1"/>
    <w:rsid w:val="00615078"/>
    <w:rsid w:val="0061754B"/>
    <w:rsid w:val="00617A20"/>
    <w:rsid w:val="00620F48"/>
    <w:rsid w:val="006215CD"/>
    <w:rsid w:val="00621627"/>
    <w:rsid w:val="00621BFD"/>
    <w:rsid w:val="00623F48"/>
    <w:rsid w:val="00625114"/>
    <w:rsid w:val="00626485"/>
    <w:rsid w:val="006303EF"/>
    <w:rsid w:val="00630C66"/>
    <w:rsid w:val="006313AB"/>
    <w:rsid w:val="00631D4D"/>
    <w:rsid w:val="0063497E"/>
    <w:rsid w:val="00634D01"/>
    <w:rsid w:val="00635EC8"/>
    <w:rsid w:val="00636304"/>
    <w:rsid w:val="0063639C"/>
    <w:rsid w:val="00636601"/>
    <w:rsid w:val="00636B64"/>
    <w:rsid w:val="00636D9F"/>
    <w:rsid w:val="00637F68"/>
    <w:rsid w:val="00640332"/>
    <w:rsid w:val="00641C0F"/>
    <w:rsid w:val="006422A8"/>
    <w:rsid w:val="006424F1"/>
    <w:rsid w:val="0064268E"/>
    <w:rsid w:val="00642693"/>
    <w:rsid w:val="0064368A"/>
    <w:rsid w:val="00643D7C"/>
    <w:rsid w:val="006450D4"/>
    <w:rsid w:val="00645EBF"/>
    <w:rsid w:val="00647AAD"/>
    <w:rsid w:val="00647B4C"/>
    <w:rsid w:val="00650377"/>
    <w:rsid w:val="0065183B"/>
    <w:rsid w:val="00651E85"/>
    <w:rsid w:val="006522B2"/>
    <w:rsid w:val="00652544"/>
    <w:rsid w:val="006526B8"/>
    <w:rsid w:val="00653CB9"/>
    <w:rsid w:val="00655025"/>
    <w:rsid w:val="00655B62"/>
    <w:rsid w:val="006601A9"/>
    <w:rsid w:val="006603EF"/>
    <w:rsid w:val="0066126E"/>
    <w:rsid w:val="00662403"/>
    <w:rsid w:val="006624D8"/>
    <w:rsid w:val="006630B3"/>
    <w:rsid w:val="00663B4A"/>
    <w:rsid w:val="0066503A"/>
    <w:rsid w:val="0066726C"/>
    <w:rsid w:val="0066733D"/>
    <w:rsid w:val="00670171"/>
    <w:rsid w:val="00671AF1"/>
    <w:rsid w:val="00671D11"/>
    <w:rsid w:val="0067213E"/>
    <w:rsid w:val="006732B8"/>
    <w:rsid w:val="00674352"/>
    <w:rsid w:val="00674AF0"/>
    <w:rsid w:val="00675022"/>
    <w:rsid w:val="00675069"/>
    <w:rsid w:val="00675AC7"/>
    <w:rsid w:val="00675D7F"/>
    <w:rsid w:val="006760C7"/>
    <w:rsid w:val="00676252"/>
    <w:rsid w:val="00677484"/>
    <w:rsid w:val="0067776F"/>
    <w:rsid w:val="00680321"/>
    <w:rsid w:val="006813C7"/>
    <w:rsid w:val="006817A1"/>
    <w:rsid w:val="0068251A"/>
    <w:rsid w:val="00682C0B"/>
    <w:rsid w:val="006832ED"/>
    <w:rsid w:val="00683847"/>
    <w:rsid w:val="00684032"/>
    <w:rsid w:val="00684AD7"/>
    <w:rsid w:val="00684EE6"/>
    <w:rsid w:val="00687C30"/>
    <w:rsid w:val="0069067D"/>
    <w:rsid w:val="006908D1"/>
    <w:rsid w:val="00690D01"/>
    <w:rsid w:val="00691392"/>
    <w:rsid w:val="00692008"/>
    <w:rsid w:val="006948C8"/>
    <w:rsid w:val="00694E7A"/>
    <w:rsid w:val="0069578D"/>
    <w:rsid w:val="0069623C"/>
    <w:rsid w:val="00697867"/>
    <w:rsid w:val="00697927"/>
    <w:rsid w:val="00697E7E"/>
    <w:rsid w:val="006A0C98"/>
    <w:rsid w:val="006A2E22"/>
    <w:rsid w:val="006A3607"/>
    <w:rsid w:val="006A4204"/>
    <w:rsid w:val="006A4544"/>
    <w:rsid w:val="006A4846"/>
    <w:rsid w:val="006A57BF"/>
    <w:rsid w:val="006A5FFE"/>
    <w:rsid w:val="006A6BAF"/>
    <w:rsid w:val="006A7B6D"/>
    <w:rsid w:val="006A7DD3"/>
    <w:rsid w:val="006B0C2F"/>
    <w:rsid w:val="006B11D0"/>
    <w:rsid w:val="006B2DD7"/>
    <w:rsid w:val="006B466E"/>
    <w:rsid w:val="006B46BC"/>
    <w:rsid w:val="006B5005"/>
    <w:rsid w:val="006B56BB"/>
    <w:rsid w:val="006B5804"/>
    <w:rsid w:val="006B6DF6"/>
    <w:rsid w:val="006B7A2B"/>
    <w:rsid w:val="006B7D20"/>
    <w:rsid w:val="006B7E41"/>
    <w:rsid w:val="006C024A"/>
    <w:rsid w:val="006C0576"/>
    <w:rsid w:val="006C11BC"/>
    <w:rsid w:val="006C193A"/>
    <w:rsid w:val="006C43E5"/>
    <w:rsid w:val="006C4F61"/>
    <w:rsid w:val="006C5060"/>
    <w:rsid w:val="006C5A41"/>
    <w:rsid w:val="006C5F11"/>
    <w:rsid w:val="006D053D"/>
    <w:rsid w:val="006D0E35"/>
    <w:rsid w:val="006D0FD8"/>
    <w:rsid w:val="006D1E4C"/>
    <w:rsid w:val="006D229A"/>
    <w:rsid w:val="006D2CBA"/>
    <w:rsid w:val="006D3669"/>
    <w:rsid w:val="006D3955"/>
    <w:rsid w:val="006D4A14"/>
    <w:rsid w:val="006D60E3"/>
    <w:rsid w:val="006D6599"/>
    <w:rsid w:val="006D6AC9"/>
    <w:rsid w:val="006D6B55"/>
    <w:rsid w:val="006D7F4D"/>
    <w:rsid w:val="006E1965"/>
    <w:rsid w:val="006E1A98"/>
    <w:rsid w:val="006E2E55"/>
    <w:rsid w:val="006E53C4"/>
    <w:rsid w:val="006E58F2"/>
    <w:rsid w:val="006E5B47"/>
    <w:rsid w:val="006E5DD8"/>
    <w:rsid w:val="006E5E01"/>
    <w:rsid w:val="006E631D"/>
    <w:rsid w:val="006E6B65"/>
    <w:rsid w:val="006E75E6"/>
    <w:rsid w:val="006E78CB"/>
    <w:rsid w:val="006F0405"/>
    <w:rsid w:val="006F3CA8"/>
    <w:rsid w:val="006F3EC4"/>
    <w:rsid w:val="006F42B6"/>
    <w:rsid w:val="006F4788"/>
    <w:rsid w:val="007004FD"/>
    <w:rsid w:val="0070078C"/>
    <w:rsid w:val="007012D2"/>
    <w:rsid w:val="007025A1"/>
    <w:rsid w:val="00703736"/>
    <w:rsid w:val="00703BB1"/>
    <w:rsid w:val="007058F7"/>
    <w:rsid w:val="007071F8"/>
    <w:rsid w:val="0070789E"/>
    <w:rsid w:val="007100F4"/>
    <w:rsid w:val="007102E2"/>
    <w:rsid w:val="007106D8"/>
    <w:rsid w:val="007110AC"/>
    <w:rsid w:val="00712E49"/>
    <w:rsid w:val="00713183"/>
    <w:rsid w:val="007132BF"/>
    <w:rsid w:val="007135DD"/>
    <w:rsid w:val="00714615"/>
    <w:rsid w:val="00714A49"/>
    <w:rsid w:val="007151F3"/>
    <w:rsid w:val="00715B7B"/>
    <w:rsid w:val="00717653"/>
    <w:rsid w:val="00717686"/>
    <w:rsid w:val="00717884"/>
    <w:rsid w:val="00717E9C"/>
    <w:rsid w:val="0072070B"/>
    <w:rsid w:val="00721A56"/>
    <w:rsid w:val="00723213"/>
    <w:rsid w:val="00723F08"/>
    <w:rsid w:val="00724574"/>
    <w:rsid w:val="00724F7F"/>
    <w:rsid w:val="007259FE"/>
    <w:rsid w:val="00726121"/>
    <w:rsid w:val="0072794C"/>
    <w:rsid w:val="00732CB9"/>
    <w:rsid w:val="00732F67"/>
    <w:rsid w:val="00734B58"/>
    <w:rsid w:val="00737881"/>
    <w:rsid w:val="00737CBB"/>
    <w:rsid w:val="007407A0"/>
    <w:rsid w:val="00741F79"/>
    <w:rsid w:val="00745875"/>
    <w:rsid w:val="00746252"/>
    <w:rsid w:val="00746795"/>
    <w:rsid w:val="00746FDD"/>
    <w:rsid w:val="00747EEF"/>
    <w:rsid w:val="007506EA"/>
    <w:rsid w:val="00751543"/>
    <w:rsid w:val="00751B50"/>
    <w:rsid w:val="0075483C"/>
    <w:rsid w:val="00756F88"/>
    <w:rsid w:val="0075723D"/>
    <w:rsid w:val="007573EB"/>
    <w:rsid w:val="00761050"/>
    <w:rsid w:val="0076166C"/>
    <w:rsid w:val="00762871"/>
    <w:rsid w:val="0076354B"/>
    <w:rsid w:val="007635DF"/>
    <w:rsid w:val="00763EF3"/>
    <w:rsid w:val="00764124"/>
    <w:rsid w:val="00764565"/>
    <w:rsid w:val="0076594C"/>
    <w:rsid w:val="007659D2"/>
    <w:rsid w:val="0076684A"/>
    <w:rsid w:val="007679ED"/>
    <w:rsid w:val="00767F1C"/>
    <w:rsid w:val="007711E5"/>
    <w:rsid w:val="0077158B"/>
    <w:rsid w:val="00772D85"/>
    <w:rsid w:val="007733F0"/>
    <w:rsid w:val="007739E8"/>
    <w:rsid w:val="007739F7"/>
    <w:rsid w:val="007741CF"/>
    <w:rsid w:val="00776C4B"/>
    <w:rsid w:val="00777D80"/>
    <w:rsid w:val="007801F9"/>
    <w:rsid w:val="00780E4F"/>
    <w:rsid w:val="00781147"/>
    <w:rsid w:val="00781241"/>
    <w:rsid w:val="00781F7E"/>
    <w:rsid w:val="007827C2"/>
    <w:rsid w:val="00782D19"/>
    <w:rsid w:val="00783B68"/>
    <w:rsid w:val="007844A0"/>
    <w:rsid w:val="00786800"/>
    <w:rsid w:val="00786FC6"/>
    <w:rsid w:val="00790A5A"/>
    <w:rsid w:val="007936A4"/>
    <w:rsid w:val="0079447C"/>
    <w:rsid w:val="0079532B"/>
    <w:rsid w:val="00796681"/>
    <w:rsid w:val="00797FD8"/>
    <w:rsid w:val="007A1E2A"/>
    <w:rsid w:val="007A26D6"/>
    <w:rsid w:val="007A27EF"/>
    <w:rsid w:val="007A2C91"/>
    <w:rsid w:val="007A31A2"/>
    <w:rsid w:val="007A3A13"/>
    <w:rsid w:val="007A45A6"/>
    <w:rsid w:val="007A46C1"/>
    <w:rsid w:val="007A4A02"/>
    <w:rsid w:val="007A532D"/>
    <w:rsid w:val="007A750F"/>
    <w:rsid w:val="007A7BA1"/>
    <w:rsid w:val="007A7C0A"/>
    <w:rsid w:val="007B0AC5"/>
    <w:rsid w:val="007B13A0"/>
    <w:rsid w:val="007B16D6"/>
    <w:rsid w:val="007B1CD7"/>
    <w:rsid w:val="007B49F9"/>
    <w:rsid w:val="007B4EB6"/>
    <w:rsid w:val="007B4EC1"/>
    <w:rsid w:val="007B55B6"/>
    <w:rsid w:val="007B5A93"/>
    <w:rsid w:val="007B5F30"/>
    <w:rsid w:val="007B70CD"/>
    <w:rsid w:val="007B71F7"/>
    <w:rsid w:val="007C034E"/>
    <w:rsid w:val="007C0ACE"/>
    <w:rsid w:val="007C1563"/>
    <w:rsid w:val="007C31D9"/>
    <w:rsid w:val="007C418C"/>
    <w:rsid w:val="007C4576"/>
    <w:rsid w:val="007C46A4"/>
    <w:rsid w:val="007C4DBA"/>
    <w:rsid w:val="007C5A31"/>
    <w:rsid w:val="007C659F"/>
    <w:rsid w:val="007C6703"/>
    <w:rsid w:val="007C676C"/>
    <w:rsid w:val="007C6AA4"/>
    <w:rsid w:val="007C6C88"/>
    <w:rsid w:val="007C71DC"/>
    <w:rsid w:val="007C7689"/>
    <w:rsid w:val="007C7C2D"/>
    <w:rsid w:val="007D0D23"/>
    <w:rsid w:val="007D17B9"/>
    <w:rsid w:val="007D4CE1"/>
    <w:rsid w:val="007D4DEB"/>
    <w:rsid w:val="007D6D24"/>
    <w:rsid w:val="007D6DA3"/>
    <w:rsid w:val="007E0FC0"/>
    <w:rsid w:val="007E1092"/>
    <w:rsid w:val="007E237D"/>
    <w:rsid w:val="007E2E78"/>
    <w:rsid w:val="007E2E85"/>
    <w:rsid w:val="007E61AC"/>
    <w:rsid w:val="007E62E7"/>
    <w:rsid w:val="007E636E"/>
    <w:rsid w:val="007E6401"/>
    <w:rsid w:val="007E7A0D"/>
    <w:rsid w:val="007E7A6A"/>
    <w:rsid w:val="007F0775"/>
    <w:rsid w:val="007F0787"/>
    <w:rsid w:val="007F219C"/>
    <w:rsid w:val="007F36CB"/>
    <w:rsid w:val="007F506B"/>
    <w:rsid w:val="007F5BAB"/>
    <w:rsid w:val="007F5BE0"/>
    <w:rsid w:val="007F6D20"/>
    <w:rsid w:val="007F71C5"/>
    <w:rsid w:val="007F79D8"/>
    <w:rsid w:val="00800C46"/>
    <w:rsid w:val="00801173"/>
    <w:rsid w:val="00801231"/>
    <w:rsid w:val="008024BC"/>
    <w:rsid w:val="00803518"/>
    <w:rsid w:val="008038B5"/>
    <w:rsid w:val="008041F0"/>
    <w:rsid w:val="00804AFF"/>
    <w:rsid w:val="00806870"/>
    <w:rsid w:val="0080755E"/>
    <w:rsid w:val="0080758C"/>
    <w:rsid w:val="00807ACA"/>
    <w:rsid w:val="008104B1"/>
    <w:rsid w:val="0081053C"/>
    <w:rsid w:val="00810B76"/>
    <w:rsid w:val="00811090"/>
    <w:rsid w:val="00812587"/>
    <w:rsid w:val="008137EE"/>
    <w:rsid w:val="0081383C"/>
    <w:rsid w:val="00813EEB"/>
    <w:rsid w:val="008151D6"/>
    <w:rsid w:val="00815802"/>
    <w:rsid w:val="008216E9"/>
    <w:rsid w:val="00821701"/>
    <w:rsid w:val="0082187B"/>
    <w:rsid w:val="00822CA6"/>
    <w:rsid w:val="0082334C"/>
    <w:rsid w:val="008236F7"/>
    <w:rsid w:val="00823B16"/>
    <w:rsid w:val="00824428"/>
    <w:rsid w:val="00824EAF"/>
    <w:rsid w:val="008253D7"/>
    <w:rsid w:val="0082545D"/>
    <w:rsid w:val="0083078D"/>
    <w:rsid w:val="00836004"/>
    <w:rsid w:val="008365E9"/>
    <w:rsid w:val="00836A1E"/>
    <w:rsid w:val="00836AC1"/>
    <w:rsid w:val="0084080C"/>
    <w:rsid w:val="00840D04"/>
    <w:rsid w:val="00842927"/>
    <w:rsid w:val="00842C15"/>
    <w:rsid w:val="008432C8"/>
    <w:rsid w:val="0084374B"/>
    <w:rsid w:val="0084383C"/>
    <w:rsid w:val="00843895"/>
    <w:rsid w:val="0084520B"/>
    <w:rsid w:val="00845AAC"/>
    <w:rsid w:val="00845CE1"/>
    <w:rsid w:val="008475D1"/>
    <w:rsid w:val="00850BE2"/>
    <w:rsid w:val="008529C0"/>
    <w:rsid w:val="00852D6C"/>
    <w:rsid w:val="0085640B"/>
    <w:rsid w:val="008567BC"/>
    <w:rsid w:val="008573CE"/>
    <w:rsid w:val="00857DF6"/>
    <w:rsid w:val="00864F79"/>
    <w:rsid w:val="008655DD"/>
    <w:rsid w:val="008663E7"/>
    <w:rsid w:val="00872587"/>
    <w:rsid w:val="008727E8"/>
    <w:rsid w:val="008728A0"/>
    <w:rsid w:val="0087363B"/>
    <w:rsid w:val="008736BB"/>
    <w:rsid w:val="00873C13"/>
    <w:rsid w:val="008758D0"/>
    <w:rsid w:val="00875956"/>
    <w:rsid w:val="00877408"/>
    <w:rsid w:val="00880394"/>
    <w:rsid w:val="00881418"/>
    <w:rsid w:val="00882229"/>
    <w:rsid w:val="00882287"/>
    <w:rsid w:val="008834C2"/>
    <w:rsid w:val="00883CF6"/>
    <w:rsid w:val="00884DA2"/>
    <w:rsid w:val="00885F00"/>
    <w:rsid w:val="00886514"/>
    <w:rsid w:val="00890179"/>
    <w:rsid w:val="00891132"/>
    <w:rsid w:val="00893347"/>
    <w:rsid w:val="008933B3"/>
    <w:rsid w:val="00894485"/>
    <w:rsid w:val="008968F7"/>
    <w:rsid w:val="008A0A61"/>
    <w:rsid w:val="008A138E"/>
    <w:rsid w:val="008A1C35"/>
    <w:rsid w:val="008A2115"/>
    <w:rsid w:val="008A2583"/>
    <w:rsid w:val="008A34B8"/>
    <w:rsid w:val="008A4C22"/>
    <w:rsid w:val="008A6F8B"/>
    <w:rsid w:val="008B0A1E"/>
    <w:rsid w:val="008B3753"/>
    <w:rsid w:val="008B5259"/>
    <w:rsid w:val="008B5509"/>
    <w:rsid w:val="008B5B21"/>
    <w:rsid w:val="008B5E69"/>
    <w:rsid w:val="008B74BF"/>
    <w:rsid w:val="008C0244"/>
    <w:rsid w:val="008C03DA"/>
    <w:rsid w:val="008C0737"/>
    <w:rsid w:val="008C10B8"/>
    <w:rsid w:val="008C10F6"/>
    <w:rsid w:val="008C2819"/>
    <w:rsid w:val="008C3BCA"/>
    <w:rsid w:val="008C5C5D"/>
    <w:rsid w:val="008C66F8"/>
    <w:rsid w:val="008C78DD"/>
    <w:rsid w:val="008D061D"/>
    <w:rsid w:val="008D0650"/>
    <w:rsid w:val="008D0B27"/>
    <w:rsid w:val="008D106F"/>
    <w:rsid w:val="008D139C"/>
    <w:rsid w:val="008D1687"/>
    <w:rsid w:val="008D31E6"/>
    <w:rsid w:val="008D4014"/>
    <w:rsid w:val="008D6986"/>
    <w:rsid w:val="008D6EC0"/>
    <w:rsid w:val="008D7056"/>
    <w:rsid w:val="008E11EA"/>
    <w:rsid w:val="008E13BF"/>
    <w:rsid w:val="008E215A"/>
    <w:rsid w:val="008E27C0"/>
    <w:rsid w:val="008E4EE4"/>
    <w:rsid w:val="008E52EC"/>
    <w:rsid w:val="008E5F20"/>
    <w:rsid w:val="008E66EE"/>
    <w:rsid w:val="008E78F4"/>
    <w:rsid w:val="008F1734"/>
    <w:rsid w:val="008F3E66"/>
    <w:rsid w:val="008F40B8"/>
    <w:rsid w:val="008F4B98"/>
    <w:rsid w:val="008F5AA7"/>
    <w:rsid w:val="008F6E69"/>
    <w:rsid w:val="00900FC6"/>
    <w:rsid w:val="00902612"/>
    <w:rsid w:val="00903B54"/>
    <w:rsid w:val="00904966"/>
    <w:rsid w:val="00907667"/>
    <w:rsid w:val="0091106A"/>
    <w:rsid w:val="00911337"/>
    <w:rsid w:val="00912C62"/>
    <w:rsid w:val="00912D37"/>
    <w:rsid w:val="00913CB1"/>
    <w:rsid w:val="00914AF6"/>
    <w:rsid w:val="009150A7"/>
    <w:rsid w:val="00917B11"/>
    <w:rsid w:val="009204BA"/>
    <w:rsid w:val="0092086D"/>
    <w:rsid w:val="0092098B"/>
    <w:rsid w:val="00920AEB"/>
    <w:rsid w:val="009219D8"/>
    <w:rsid w:val="00921B0B"/>
    <w:rsid w:val="00921B5D"/>
    <w:rsid w:val="00923039"/>
    <w:rsid w:val="009231A1"/>
    <w:rsid w:val="00923838"/>
    <w:rsid w:val="009256E2"/>
    <w:rsid w:val="00927478"/>
    <w:rsid w:val="0092764B"/>
    <w:rsid w:val="00927FDD"/>
    <w:rsid w:val="00930E6B"/>
    <w:rsid w:val="009312B0"/>
    <w:rsid w:val="00931ABB"/>
    <w:rsid w:val="00933B31"/>
    <w:rsid w:val="009350B9"/>
    <w:rsid w:val="009350E4"/>
    <w:rsid w:val="00935C59"/>
    <w:rsid w:val="00935FB7"/>
    <w:rsid w:val="00937559"/>
    <w:rsid w:val="00937581"/>
    <w:rsid w:val="00937E15"/>
    <w:rsid w:val="0094157D"/>
    <w:rsid w:val="00941B09"/>
    <w:rsid w:val="00943EFD"/>
    <w:rsid w:val="0094406A"/>
    <w:rsid w:val="00945C58"/>
    <w:rsid w:val="00945CE5"/>
    <w:rsid w:val="0094676D"/>
    <w:rsid w:val="009479B9"/>
    <w:rsid w:val="009479C1"/>
    <w:rsid w:val="00947CC0"/>
    <w:rsid w:val="00950936"/>
    <w:rsid w:val="00950D6A"/>
    <w:rsid w:val="00950E74"/>
    <w:rsid w:val="00951AD6"/>
    <w:rsid w:val="00953FD8"/>
    <w:rsid w:val="00954DEC"/>
    <w:rsid w:val="0095577F"/>
    <w:rsid w:val="00956239"/>
    <w:rsid w:val="009563D0"/>
    <w:rsid w:val="009578FB"/>
    <w:rsid w:val="00960CA2"/>
    <w:rsid w:val="00961A38"/>
    <w:rsid w:val="00962A0F"/>
    <w:rsid w:val="00962BBF"/>
    <w:rsid w:val="00963068"/>
    <w:rsid w:val="00963E44"/>
    <w:rsid w:val="00963E5A"/>
    <w:rsid w:val="00964071"/>
    <w:rsid w:val="00964FA8"/>
    <w:rsid w:val="00965F72"/>
    <w:rsid w:val="00966A11"/>
    <w:rsid w:val="00967713"/>
    <w:rsid w:val="00970E1B"/>
    <w:rsid w:val="0097583A"/>
    <w:rsid w:val="009758A5"/>
    <w:rsid w:val="009770EE"/>
    <w:rsid w:val="009777B9"/>
    <w:rsid w:val="00980483"/>
    <w:rsid w:val="00981264"/>
    <w:rsid w:val="009812FE"/>
    <w:rsid w:val="009825EE"/>
    <w:rsid w:val="00982DD9"/>
    <w:rsid w:val="009847FA"/>
    <w:rsid w:val="0098490E"/>
    <w:rsid w:val="00986305"/>
    <w:rsid w:val="00986380"/>
    <w:rsid w:val="0098733D"/>
    <w:rsid w:val="0099292D"/>
    <w:rsid w:val="00992C31"/>
    <w:rsid w:val="00992C66"/>
    <w:rsid w:val="00993AA4"/>
    <w:rsid w:val="00995645"/>
    <w:rsid w:val="00995EB2"/>
    <w:rsid w:val="009A1733"/>
    <w:rsid w:val="009A18B7"/>
    <w:rsid w:val="009A1DE5"/>
    <w:rsid w:val="009A2242"/>
    <w:rsid w:val="009A2C9E"/>
    <w:rsid w:val="009A32F9"/>
    <w:rsid w:val="009A5DF8"/>
    <w:rsid w:val="009A7329"/>
    <w:rsid w:val="009B0165"/>
    <w:rsid w:val="009B0528"/>
    <w:rsid w:val="009B07F4"/>
    <w:rsid w:val="009B2FE6"/>
    <w:rsid w:val="009B52CF"/>
    <w:rsid w:val="009B5B33"/>
    <w:rsid w:val="009B6947"/>
    <w:rsid w:val="009B6ECF"/>
    <w:rsid w:val="009C0593"/>
    <w:rsid w:val="009C0A89"/>
    <w:rsid w:val="009C0EDF"/>
    <w:rsid w:val="009C2B09"/>
    <w:rsid w:val="009C2B26"/>
    <w:rsid w:val="009C44F7"/>
    <w:rsid w:val="009C4D89"/>
    <w:rsid w:val="009C5545"/>
    <w:rsid w:val="009C799C"/>
    <w:rsid w:val="009C7CA4"/>
    <w:rsid w:val="009D0D41"/>
    <w:rsid w:val="009D12D8"/>
    <w:rsid w:val="009D20DF"/>
    <w:rsid w:val="009D2416"/>
    <w:rsid w:val="009D27D3"/>
    <w:rsid w:val="009D27F3"/>
    <w:rsid w:val="009D298E"/>
    <w:rsid w:val="009D2CAD"/>
    <w:rsid w:val="009D39AB"/>
    <w:rsid w:val="009D490C"/>
    <w:rsid w:val="009D4E7F"/>
    <w:rsid w:val="009D4FF0"/>
    <w:rsid w:val="009D54BD"/>
    <w:rsid w:val="009D7010"/>
    <w:rsid w:val="009E0044"/>
    <w:rsid w:val="009E191E"/>
    <w:rsid w:val="009E22E1"/>
    <w:rsid w:val="009E32A2"/>
    <w:rsid w:val="009E3D2E"/>
    <w:rsid w:val="009E4110"/>
    <w:rsid w:val="009E6A75"/>
    <w:rsid w:val="009E6F67"/>
    <w:rsid w:val="009E775B"/>
    <w:rsid w:val="009F2D31"/>
    <w:rsid w:val="009F3D90"/>
    <w:rsid w:val="009F4380"/>
    <w:rsid w:val="009F51A8"/>
    <w:rsid w:val="009F5297"/>
    <w:rsid w:val="009F612E"/>
    <w:rsid w:val="009F6B75"/>
    <w:rsid w:val="00A00F13"/>
    <w:rsid w:val="00A0248E"/>
    <w:rsid w:val="00A031FB"/>
    <w:rsid w:val="00A03AC6"/>
    <w:rsid w:val="00A04DC4"/>
    <w:rsid w:val="00A10A53"/>
    <w:rsid w:val="00A12099"/>
    <w:rsid w:val="00A12185"/>
    <w:rsid w:val="00A1254D"/>
    <w:rsid w:val="00A12E52"/>
    <w:rsid w:val="00A14B50"/>
    <w:rsid w:val="00A15D4A"/>
    <w:rsid w:val="00A17662"/>
    <w:rsid w:val="00A2089C"/>
    <w:rsid w:val="00A2301C"/>
    <w:rsid w:val="00A233A8"/>
    <w:rsid w:val="00A241AF"/>
    <w:rsid w:val="00A252B2"/>
    <w:rsid w:val="00A261D5"/>
    <w:rsid w:val="00A26314"/>
    <w:rsid w:val="00A2699A"/>
    <w:rsid w:val="00A3002E"/>
    <w:rsid w:val="00A3173B"/>
    <w:rsid w:val="00A32DE7"/>
    <w:rsid w:val="00A3416B"/>
    <w:rsid w:val="00A344A0"/>
    <w:rsid w:val="00A348AD"/>
    <w:rsid w:val="00A34EED"/>
    <w:rsid w:val="00A35A10"/>
    <w:rsid w:val="00A3630B"/>
    <w:rsid w:val="00A378BA"/>
    <w:rsid w:val="00A378F4"/>
    <w:rsid w:val="00A37D37"/>
    <w:rsid w:val="00A40205"/>
    <w:rsid w:val="00A41EB3"/>
    <w:rsid w:val="00A4287C"/>
    <w:rsid w:val="00A433CE"/>
    <w:rsid w:val="00A433D2"/>
    <w:rsid w:val="00A43590"/>
    <w:rsid w:val="00A4431C"/>
    <w:rsid w:val="00A4466D"/>
    <w:rsid w:val="00A44AAD"/>
    <w:rsid w:val="00A460F1"/>
    <w:rsid w:val="00A4627E"/>
    <w:rsid w:val="00A4640B"/>
    <w:rsid w:val="00A4698A"/>
    <w:rsid w:val="00A4769A"/>
    <w:rsid w:val="00A51115"/>
    <w:rsid w:val="00A51329"/>
    <w:rsid w:val="00A515B3"/>
    <w:rsid w:val="00A51863"/>
    <w:rsid w:val="00A52075"/>
    <w:rsid w:val="00A5544F"/>
    <w:rsid w:val="00A55E30"/>
    <w:rsid w:val="00A609DB"/>
    <w:rsid w:val="00A60DEA"/>
    <w:rsid w:val="00A613E0"/>
    <w:rsid w:val="00A619B9"/>
    <w:rsid w:val="00A62A49"/>
    <w:rsid w:val="00A64BF7"/>
    <w:rsid w:val="00A654BE"/>
    <w:rsid w:val="00A656F7"/>
    <w:rsid w:val="00A65F87"/>
    <w:rsid w:val="00A70091"/>
    <w:rsid w:val="00A70956"/>
    <w:rsid w:val="00A7148A"/>
    <w:rsid w:val="00A71E7E"/>
    <w:rsid w:val="00A74C5E"/>
    <w:rsid w:val="00A7542B"/>
    <w:rsid w:val="00A75C50"/>
    <w:rsid w:val="00A7693D"/>
    <w:rsid w:val="00A774A6"/>
    <w:rsid w:val="00A81B8A"/>
    <w:rsid w:val="00A85512"/>
    <w:rsid w:val="00A857D1"/>
    <w:rsid w:val="00A859E5"/>
    <w:rsid w:val="00A8607C"/>
    <w:rsid w:val="00A86A78"/>
    <w:rsid w:val="00A924BE"/>
    <w:rsid w:val="00A94607"/>
    <w:rsid w:val="00A947A6"/>
    <w:rsid w:val="00A94F36"/>
    <w:rsid w:val="00A9559F"/>
    <w:rsid w:val="00A95A1A"/>
    <w:rsid w:val="00A974D9"/>
    <w:rsid w:val="00A97702"/>
    <w:rsid w:val="00A97DB3"/>
    <w:rsid w:val="00AA2815"/>
    <w:rsid w:val="00AA2918"/>
    <w:rsid w:val="00AA3CD3"/>
    <w:rsid w:val="00AA49D8"/>
    <w:rsid w:val="00AA4A05"/>
    <w:rsid w:val="00AA632F"/>
    <w:rsid w:val="00AA66F5"/>
    <w:rsid w:val="00AA73E8"/>
    <w:rsid w:val="00AA75CA"/>
    <w:rsid w:val="00AB0AF5"/>
    <w:rsid w:val="00AB1D64"/>
    <w:rsid w:val="00AB4ED4"/>
    <w:rsid w:val="00AB55EC"/>
    <w:rsid w:val="00AB57B8"/>
    <w:rsid w:val="00AB58C9"/>
    <w:rsid w:val="00AB5B41"/>
    <w:rsid w:val="00AB7F0D"/>
    <w:rsid w:val="00AC016D"/>
    <w:rsid w:val="00AC032C"/>
    <w:rsid w:val="00AC0C79"/>
    <w:rsid w:val="00AC26D2"/>
    <w:rsid w:val="00AC2BF3"/>
    <w:rsid w:val="00AC3CCC"/>
    <w:rsid w:val="00AC40E2"/>
    <w:rsid w:val="00AC4A02"/>
    <w:rsid w:val="00AC5D2F"/>
    <w:rsid w:val="00AC623B"/>
    <w:rsid w:val="00AC7995"/>
    <w:rsid w:val="00AC7EF8"/>
    <w:rsid w:val="00AD0CDB"/>
    <w:rsid w:val="00AD13CF"/>
    <w:rsid w:val="00AD1467"/>
    <w:rsid w:val="00AD177F"/>
    <w:rsid w:val="00AD17F3"/>
    <w:rsid w:val="00AD227D"/>
    <w:rsid w:val="00AD33B9"/>
    <w:rsid w:val="00AD50C7"/>
    <w:rsid w:val="00AE0A6A"/>
    <w:rsid w:val="00AE1F4D"/>
    <w:rsid w:val="00AE2921"/>
    <w:rsid w:val="00AE409C"/>
    <w:rsid w:val="00AE4ED4"/>
    <w:rsid w:val="00AE5412"/>
    <w:rsid w:val="00AE59CF"/>
    <w:rsid w:val="00AE6AF3"/>
    <w:rsid w:val="00AE6F5B"/>
    <w:rsid w:val="00AF0954"/>
    <w:rsid w:val="00AF1740"/>
    <w:rsid w:val="00AF3927"/>
    <w:rsid w:val="00AF4645"/>
    <w:rsid w:val="00AF4AD6"/>
    <w:rsid w:val="00AF5973"/>
    <w:rsid w:val="00AF6219"/>
    <w:rsid w:val="00AF6F02"/>
    <w:rsid w:val="00AF70B1"/>
    <w:rsid w:val="00B00C99"/>
    <w:rsid w:val="00B02384"/>
    <w:rsid w:val="00B03DB4"/>
    <w:rsid w:val="00B04940"/>
    <w:rsid w:val="00B04AC9"/>
    <w:rsid w:val="00B05442"/>
    <w:rsid w:val="00B073E2"/>
    <w:rsid w:val="00B10165"/>
    <w:rsid w:val="00B10A9F"/>
    <w:rsid w:val="00B11BEC"/>
    <w:rsid w:val="00B12128"/>
    <w:rsid w:val="00B123F1"/>
    <w:rsid w:val="00B1459F"/>
    <w:rsid w:val="00B14D2D"/>
    <w:rsid w:val="00B1614D"/>
    <w:rsid w:val="00B16631"/>
    <w:rsid w:val="00B171E6"/>
    <w:rsid w:val="00B22353"/>
    <w:rsid w:val="00B2320D"/>
    <w:rsid w:val="00B23DB7"/>
    <w:rsid w:val="00B23FF0"/>
    <w:rsid w:val="00B24978"/>
    <w:rsid w:val="00B24C73"/>
    <w:rsid w:val="00B25BE2"/>
    <w:rsid w:val="00B25C58"/>
    <w:rsid w:val="00B2688F"/>
    <w:rsid w:val="00B30B84"/>
    <w:rsid w:val="00B32E45"/>
    <w:rsid w:val="00B35ACD"/>
    <w:rsid w:val="00B361E7"/>
    <w:rsid w:val="00B4079F"/>
    <w:rsid w:val="00B41B37"/>
    <w:rsid w:val="00B427AA"/>
    <w:rsid w:val="00B44571"/>
    <w:rsid w:val="00B44808"/>
    <w:rsid w:val="00B45536"/>
    <w:rsid w:val="00B45806"/>
    <w:rsid w:val="00B458EB"/>
    <w:rsid w:val="00B46158"/>
    <w:rsid w:val="00B501BE"/>
    <w:rsid w:val="00B52ADC"/>
    <w:rsid w:val="00B5301B"/>
    <w:rsid w:val="00B5321B"/>
    <w:rsid w:val="00B53BAD"/>
    <w:rsid w:val="00B5428A"/>
    <w:rsid w:val="00B56BC7"/>
    <w:rsid w:val="00B57E3A"/>
    <w:rsid w:val="00B60088"/>
    <w:rsid w:val="00B60347"/>
    <w:rsid w:val="00B612D0"/>
    <w:rsid w:val="00B623C7"/>
    <w:rsid w:val="00B63EE3"/>
    <w:rsid w:val="00B6449E"/>
    <w:rsid w:val="00B65655"/>
    <w:rsid w:val="00B65B76"/>
    <w:rsid w:val="00B660BB"/>
    <w:rsid w:val="00B6616D"/>
    <w:rsid w:val="00B70144"/>
    <w:rsid w:val="00B701CA"/>
    <w:rsid w:val="00B70823"/>
    <w:rsid w:val="00B712BF"/>
    <w:rsid w:val="00B72DA7"/>
    <w:rsid w:val="00B758AD"/>
    <w:rsid w:val="00B766F9"/>
    <w:rsid w:val="00B76BB1"/>
    <w:rsid w:val="00B76D2B"/>
    <w:rsid w:val="00B77DB0"/>
    <w:rsid w:val="00B77E6D"/>
    <w:rsid w:val="00B80410"/>
    <w:rsid w:val="00B80B7D"/>
    <w:rsid w:val="00B82266"/>
    <w:rsid w:val="00B82E21"/>
    <w:rsid w:val="00B8313B"/>
    <w:rsid w:val="00B83B1F"/>
    <w:rsid w:val="00B85037"/>
    <w:rsid w:val="00B85C45"/>
    <w:rsid w:val="00B85EA5"/>
    <w:rsid w:val="00B8613C"/>
    <w:rsid w:val="00B906C6"/>
    <w:rsid w:val="00B90B10"/>
    <w:rsid w:val="00B90CF5"/>
    <w:rsid w:val="00B91539"/>
    <w:rsid w:val="00B925A3"/>
    <w:rsid w:val="00B92E98"/>
    <w:rsid w:val="00B93944"/>
    <w:rsid w:val="00B947E2"/>
    <w:rsid w:val="00B96403"/>
    <w:rsid w:val="00B96C6D"/>
    <w:rsid w:val="00B96C96"/>
    <w:rsid w:val="00B97CEB"/>
    <w:rsid w:val="00BA087A"/>
    <w:rsid w:val="00BA27C7"/>
    <w:rsid w:val="00BA3221"/>
    <w:rsid w:val="00BA3727"/>
    <w:rsid w:val="00BA3744"/>
    <w:rsid w:val="00BA3B0A"/>
    <w:rsid w:val="00BA457E"/>
    <w:rsid w:val="00BA494D"/>
    <w:rsid w:val="00BA5309"/>
    <w:rsid w:val="00BA5631"/>
    <w:rsid w:val="00BB1044"/>
    <w:rsid w:val="00BB2772"/>
    <w:rsid w:val="00BB4268"/>
    <w:rsid w:val="00BB7461"/>
    <w:rsid w:val="00BB74EA"/>
    <w:rsid w:val="00BB78CB"/>
    <w:rsid w:val="00BC0103"/>
    <w:rsid w:val="00BC126A"/>
    <w:rsid w:val="00BC1741"/>
    <w:rsid w:val="00BC1D1B"/>
    <w:rsid w:val="00BC1F46"/>
    <w:rsid w:val="00BC28EC"/>
    <w:rsid w:val="00BC2BD3"/>
    <w:rsid w:val="00BC66D0"/>
    <w:rsid w:val="00BC7BF2"/>
    <w:rsid w:val="00BC7DD2"/>
    <w:rsid w:val="00BD0203"/>
    <w:rsid w:val="00BD4D8A"/>
    <w:rsid w:val="00BD524E"/>
    <w:rsid w:val="00BD6829"/>
    <w:rsid w:val="00BD6B26"/>
    <w:rsid w:val="00BD7342"/>
    <w:rsid w:val="00BD7521"/>
    <w:rsid w:val="00BD752B"/>
    <w:rsid w:val="00BD7C82"/>
    <w:rsid w:val="00BE0097"/>
    <w:rsid w:val="00BE0893"/>
    <w:rsid w:val="00BE1A2B"/>
    <w:rsid w:val="00BE25B7"/>
    <w:rsid w:val="00BE2C0B"/>
    <w:rsid w:val="00BE2CD6"/>
    <w:rsid w:val="00BE3B84"/>
    <w:rsid w:val="00BE5D0A"/>
    <w:rsid w:val="00BE6703"/>
    <w:rsid w:val="00BE6867"/>
    <w:rsid w:val="00BE7529"/>
    <w:rsid w:val="00BF04B2"/>
    <w:rsid w:val="00BF0992"/>
    <w:rsid w:val="00BF20F4"/>
    <w:rsid w:val="00BF3667"/>
    <w:rsid w:val="00BF3FD7"/>
    <w:rsid w:val="00BF45E3"/>
    <w:rsid w:val="00BF4DB8"/>
    <w:rsid w:val="00BF589C"/>
    <w:rsid w:val="00BF5CBA"/>
    <w:rsid w:val="00BF5F4E"/>
    <w:rsid w:val="00BF6833"/>
    <w:rsid w:val="00BF686A"/>
    <w:rsid w:val="00BF72C9"/>
    <w:rsid w:val="00C01A89"/>
    <w:rsid w:val="00C024F6"/>
    <w:rsid w:val="00C0327C"/>
    <w:rsid w:val="00C04481"/>
    <w:rsid w:val="00C04D60"/>
    <w:rsid w:val="00C054BD"/>
    <w:rsid w:val="00C059E1"/>
    <w:rsid w:val="00C0667F"/>
    <w:rsid w:val="00C06A7F"/>
    <w:rsid w:val="00C07C2C"/>
    <w:rsid w:val="00C07CC7"/>
    <w:rsid w:val="00C12B5F"/>
    <w:rsid w:val="00C14AB5"/>
    <w:rsid w:val="00C15A43"/>
    <w:rsid w:val="00C2189E"/>
    <w:rsid w:val="00C21B90"/>
    <w:rsid w:val="00C226D2"/>
    <w:rsid w:val="00C228AD"/>
    <w:rsid w:val="00C22927"/>
    <w:rsid w:val="00C23672"/>
    <w:rsid w:val="00C243EC"/>
    <w:rsid w:val="00C25451"/>
    <w:rsid w:val="00C313D3"/>
    <w:rsid w:val="00C31DC9"/>
    <w:rsid w:val="00C328B0"/>
    <w:rsid w:val="00C32AA2"/>
    <w:rsid w:val="00C3305D"/>
    <w:rsid w:val="00C33F2B"/>
    <w:rsid w:val="00C34FE7"/>
    <w:rsid w:val="00C35727"/>
    <w:rsid w:val="00C362BD"/>
    <w:rsid w:val="00C37406"/>
    <w:rsid w:val="00C404C4"/>
    <w:rsid w:val="00C40900"/>
    <w:rsid w:val="00C411AD"/>
    <w:rsid w:val="00C41A47"/>
    <w:rsid w:val="00C42BC6"/>
    <w:rsid w:val="00C43AEA"/>
    <w:rsid w:val="00C44982"/>
    <w:rsid w:val="00C44DB3"/>
    <w:rsid w:val="00C458EC"/>
    <w:rsid w:val="00C45E43"/>
    <w:rsid w:val="00C46F4B"/>
    <w:rsid w:val="00C47072"/>
    <w:rsid w:val="00C50021"/>
    <w:rsid w:val="00C500BA"/>
    <w:rsid w:val="00C511E5"/>
    <w:rsid w:val="00C512E5"/>
    <w:rsid w:val="00C519EB"/>
    <w:rsid w:val="00C52098"/>
    <w:rsid w:val="00C522F3"/>
    <w:rsid w:val="00C523C0"/>
    <w:rsid w:val="00C526A5"/>
    <w:rsid w:val="00C52984"/>
    <w:rsid w:val="00C533FB"/>
    <w:rsid w:val="00C540F2"/>
    <w:rsid w:val="00C54A42"/>
    <w:rsid w:val="00C54B1E"/>
    <w:rsid w:val="00C5549E"/>
    <w:rsid w:val="00C55957"/>
    <w:rsid w:val="00C55B57"/>
    <w:rsid w:val="00C561E7"/>
    <w:rsid w:val="00C5727D"/>
    <w:rsid w:val="00C5777D"/>
    <w:rsid w:val="00C60565"/>
    <w:rsid w:val="00C60B67"/>
    <w:rsid w:val="00C617BF"/>
    <w:rsid w:val="00C64727"/>
    <w:rsid w:val="00C64AE7"/>
    <w:rsid w:val="00C65938"/>
    <w:rsid w:val="00C6639A"/>
    <w:rsid w:val="00C70552"/>
    <w:rsid w:val="00C70B15"/>
    <w:rsid w:val="00C72595"/>
    <w:rsid w:val="00C7382C"/>
    <w:rsid w:val="00C73AB6"/>
    <w:rsid w:val="00C7456F"/>
    <w:rsid w:val="00C74F3E"/>
    <w:rsid w:val="00C7529F"/>
    <w:rsid w:val="00C76453"/>
    <w:rsid w:val="00C77EBF"/>
    <w:rsid w:val="00C824CE"/>
    <w:rsid w:val="00C826F9"/>
    <w:rsid w:val="00C83A0A"/>
    <w:rsid w:val="00C83DF2"/>
    <w:rsid w:val="00C844A2"/>
    <w:rsid w:val="00C84AB6"/>
    <w:rsid w:val="00C85415"/>
    <w:rsid w:val="00C85E4B"/>
    <w:rsid w:val="00C9206E"/>
    <w:rsid w:val="00C921C1"/>
    <w:rsid w:val="00C93B89"/>
    <w:rsid w:val="00C93CF6"/>
    <w:rsid w:val="00C95471"/>
    <w:rsid w:val="00C95E0F"/>
    <w:rsid w:val="00C96496"/>
    <w:rsid w:val="00CA29AE"/>
    <w:rsid w:val="00CA2A83"/>
    <w:rsid w:val="00CA32A5"/>
    <w:rsid w:val="00CA5AD2"/>
    <w:rsid w:val="00CA645F"/>
    <w:rsid w:val="00CA64AB"/>
    <w:rsid w:val="00CA6580"/>
    <w:rsid w:val="00CA7051"/>
    <w:rsid w:val="00CA7B4B"/>
    <w:rsid w:val="00CB069C"/>
    <w:rsid w:val="00CB071D"/>
    <w:rsid w:val="00CB1548"/>
    <w:rsid w:val="00CB4040"/>
    <w:rsid w:val="00CB4144"/>
    <w:rsid w:val="00CB417B"/>
    <w:rsid w:val="00CB4C4C"/>
    <w:rsid w:val="00CB688B"/>
    <w:rsid w:val="00CB6D69"/>
    <w:rsid w:val="00CB7A99"/>
    <w:rsid w:val="00CB7B4F"/>
    <w:rsid w:val="00CB7DED"/>
    <w:rsid w:val="00CC06A7"/>
    <w:rsid w:val="00CC2EB7"/>
    <w:rsid w:val="00CC3765"/>
    <w:rsid w:val="00CC3A54"/>
    <w:rsid w:val="00CC41F0"/>
    <w:rsid w:val="00CC4617"/>
    <w:rsid w:val="00CC4D3E"/>
    <w:rsid w:val="00CC5131"/>
    <w:rsid w:val="00CC55ED"/>
    <w:rsid w:val="00CC6CB0"/>
    <w:rsid w:val="00CC6DA6"/>
    <w:rsid w:val="00CC77FD"/>
    <w:rsid w:val="00CD0A43"/>
    <w:rsid w:val="00CD1BC1"/>
    <w:rsid w:val="00CD1C57"/>
    <w:rsid w:val="00CD40E0"/>
    <w:rsid w:val="00CD40E2"/>
    <w:rsid w:val="00CD5502"/>
    <w:rsid w:val="00CD6EE4"/>
    <w:rsid w:val="00CE0615"/>
    <w:rsid w:val="00CE14E8"/>
    <w:rsid w:val="00CE1B7E"/>
    <w:rsid w:val="00CE258D"/>
    <w:rsid w:val="00CE470B"/>
    <w:rsid w:val="00CE4AE6"/>
    <w:rsid w:val="00CE50F7"/>
    <w:rsid w:val="00CE5481"/>
    <w:rsid w:val="00CE64CD"/>
    <w:rsid w:val="00CE6651"/>
    <w:rsid w:val="00CF0030"/>
    <w:rsid w:val="00CF0A30"/>
    <w:rsid w:val="00CF1475"/>
    <w:rsid w:val="00CF2394"/>
    <w:rsid w:val="00CF2669"/>
    <w:rsid w:val="00CF27D1"/>
    <w:rsid w:val="00CF3636"/>
    <w:rsid w:val="00CF38A9"/>
    <w:rsid w:val="00CF4A51"/>
    <w:rsid w:val="00CF4B31"/>
    <w:rsid w:val="00CF57E7"/>
    <w:rsid w:val="00CF654E"/>
    <w:rsid w:val="00CF681C"/>
    <w:rsid w:val="00CF717E"/>
    <w:rsid w:val="00D000D8"/>
    <w:rsid w:val="00D00CF2"/>
    <w:rsid w:val="00D00F16"/>
    <w:rsid w:val="00D0250F"/>
    <w:rsid w:val="00D043CF"/>
    <w:rsid w:val="00D05200"/>
    <w:rsid w:val="00D05379"/>
    <w:rsid w:val="00D05B84"/>
    <w:rsid w:val="00D05FEB"/>
    <w:rsid w:val="00D10275"/>
    <w:rsid w:val="00D102DB"/>
    <w:rsid w:val="00D1308E"/>
    <w:rsid w:val="00D14112"/>
    <w:rsid w:val="00D15E78"/>
    <w:rsid w:val="00D161B6"/>
    <w:rsid w:val="00D16DF8"/>
    <w:rsid w:val="00D17A29"/>
    <w:rsid w:val="00D21610"/>
    <w:rsid w:val="00D23506"/>
    <w:rsid w:val="00D23807"/>
    <w:rsid w:val="00D2433F"/>
    <w:rsid w:val="00D2467B"/>
    <w:rsid w:val="00D247B8"/>
    <w:rsid w:val="00D249D3"/>
    <w:rsid w:val="00D26158"/>
    <w:rsid w:val="00D27F52"/>
    <w:rsid w:val="00D30A28"/>
    <w:rsid w:val="00D316DF"/>
    <w:rsid w:val="00D32DC0"/>
    <w:rsid w:val="00D33294"/>
    <w:rsid w:val="00D34461"/>
    <w:rsid w:val="00D34A01"/>
    <w:rsid w:val="00D3557C"/>
    <w:rsid w:val="00D355C2"/>
    <w:rsid w:val="00D36624"/>
    <w:rsid w:val="00D36678"/>
    <w:rsid w:val="00D3734C"/>
    <w:rsid w:val="00D377C0"/>
    <w:rsid w:val="00D37E89"/>
    <w:rsid w:val="00D40274"/>
    <w:rsid w:val="00D4209A"/>
    <w:rsid w:val="00D42228"/>
    <w:rsid w:val="00D4245E"/>
    <w:rsid w:val="00D42B1F"/>
    <w:rsid w:val="00D43DB3"/>
    <w:rsid w:val="00D45083"/>
    <w:rsid w:val="00D45238"/>
    <w:rsid w:val="00D46400"/>
    <w:rsid w:val="00D465F0"/>
    <w:rsid w:val="00D47CF5"/>
    <w:rsid w:val="00D50CF0"/>
    <w:rsid w:val="00D517CA"/>
    <w:rsid w:val="00D522D6"/>
    <w:rsid w:val="00D527AD"/>
    <w:rsid w:val="00D52F88"/>
    <w:rsid w:val="00D540D1"/>
    <w:rsid w:val="00D555A0"/>
    <w:rsid w:val="00D56A42"/>
    <w:rsid w:val="00D57FB7"/>
    <w:rsid w:val="00D6003B"/>
    <w:rsid w:val="00D61632"/>
    <w:rsid w:val="00D61709"/>
    <w:rsid w:val="00D61A03"/>
    <w:rsid w:val="00D6403F"/>
    <w:rsid w:val="00D66D68"/>
    <w:rsid w:val="00D70568"/>
    <w:rsid w:val="00D70D38"/>
    <w:rsid w:val="00D74065"/>
    <w:rsid w:val="00D74624"/>
    <w:rsid w:val="00D759C0"/>
    <w:rsid w:val="00D763B9"/>
    <w:rsid w:val="00D77510"/>
    <w:rsid w:val="00D80B08"/>
    <w:rsid w:val="00D81961"/>
    <w:rsid w:val="00D819BE"/>
    <w:rsid w:val="00D82AFA"/>
    <w:rsid w:val="00D83CC5"/>
    <w:rsid w:val="00D86B06"/>
    <w:rsid w:val="00D87BEF"/>
    <w:rsid w:val="00D91736"/>
    <w:rsid w:val="00D921B7"/>
    <w:rsid w:val="00D9425F"/>
    <w:rsid w:val="00D9457B"/>
    <w:rsid w:val="00D96FC6"/>
    <w:rsid w:val="00D97D56"/>
    <w:rsid w:val="00DA05A2"/>
    <w:rsid w:val="00DA0ED6"/>
    <w:rsid w:val="00DA0FF4"/>
    <w:rsid w:val="00DA13C3"/>
    <w:rsid w:val="00DA3ACB"/>
    <w:rsid w:val="00DA3C8D"/>
    <w:rsid w:val="00DA4265"/>
    <w:rsid w:val="00DA4C1D"/>
    <w:rsid w:val="00DA4DF7"/>
    <w:rsid w:val="00DA7693"/>
    <w:rsid w:val="00DA77B5"/>
    <w:rsid w:val="00DB0397"/>
    <w:rsid w:val="00DB0B74"/>
    <w:rsid w:val="00DB0CE0"/>
    <w:rsid w:val="00DB11F1"/>
    <w:rsid w:val="00DB2AB3"/>
    <w:rsid w:val="00DB38BC"/>
    <w:rsid w:val="00DB39F7"/>
    <w:rsid w:val="00DB418F"/>
    <w:rsid w:val="00DB528C"/>
    <w:rsid w:val="00DB6857"/>
    <w:rsid w:val="00DB7FD3"/>
    <w:rsid w:val="00DC03C2"/>
    <w:rsid w:val="00DC1044"/>
    <w:rsid w:val="00DC2454"/>
    <w:rsid w:val="00DC2AA1"/>
    <w:rsid w:val="00DC3096"/>
    <w:rsid w:val="00DC3271"/>
    <w:rsid w:val="00DC3A8B"/>
    <w:rsid w:val="00DC3C4D"/>
    <w:rsid w:val="00DC3C6B"/>
    <w:rsid w:val="00DC4F2C"/>
    <w:rsid w:val="00DC4FBC"/>
    <w:rsid w:val="00DC4FE7"/>
    <w:rsid w:val="00DC5936"/>
    <w:rsid w:val="00DC6E91"/>
    <w:rsid w:val="00DC6F4E"/>
    <w:rsid w:val="00DC78B4"/>
    <w:rsid w:val="00DD025D"/>
    <w:rsid w:val="00DD0F0E"/>
    <w:rsid w:val="00DD19C6"/>
    <w:rsid w:val="00DD1B22"/>
    <w:rsid w:val="00DD2B84"/>
    <w:rsid w:val="00DD2FEB"/>
    <w:rsid w:val="00DD512A"/>
    <w:rsid w:val="00DD546E"/>
    <w:rsid w:val="00DD5E81"/>
    <w:rsid w:val="00DD60BB"/>
    <w:rsid w:val="00DD7FB7"/>
    <w:rsid w:val="00DE135C"/>
    <w:rsid w:val="00DE1DFF"/>
    <w:rsid w:val="00DE1E65"/>
    <w:rsid w:val="00DE2BDB"/>
    <w:rsid w:val="00DE2E96"/>
    <w:rsid w:val="00DE3506"/>
    <w:rsid w:val="00DE6438"/>
    <w:rsid w:val="00DE67B9"/>
    <w:rsid w:val="00DF051D"/>
    <w:rsid w:val="00DF0A6E"/>
    <w:rsid w:val="00DF0FD8"/>
    <w:rsid w:val="00DF273E"/>
    <w:rsid w:val="00DF2C9B"/>
    <w:rsid w:val="00DF320F"/>
    <w:rsid w:val="00DF3432"/>
    <w:rsid w:val="00DF581E"/>
    <w:rsid w:val="00DF5F7A"/>
    <w:rsid w:val="00DF620E"/>
    <w:rsid w:val="00DF744F"/>
    <w:rsid w:val="00DF7EF7"/>
    <w:rsid w:val="00E00196"/>
    <w:rsid w:val="00E00886"/>
    <w:rsid w:val="00E01BE0"/>
    <w:rsid w:val="00E01C6A"/>
    <w:rsid w:val="00E038F8"/>
    <w:rsid w:val="00E048F2"/>
    <w:rsid w:val="00E04FE7"/>
    <w:rsid w:val="00E06014"/>
    <w:rsid w:val="00E07C65"/>
    <w:rsid w:val="00E07F15"/>
    <w:rsid w:val="00E11B55"/>
    <w:rsid w:val="00E12C33"/>
    <w:rsid w:val="00E12E06"/>
    <w:rsid w:val="00E1312C"/>
    <w:rsid w:val="00E13569"/>
    <w:rsid w:val="00E142FD"/>
    <w:rsid w:val="00E1515A"/>
    <w:rsid w:val="00E1577F"/>
    <w:rsid w:val="00E15BF8"/>
    <w:rsid w:val="00E15C78"/>
    <w:rsid w:val="00E16BCA"/>
    <w:rsid w:val="00E17255"/>
    <w:rsid w:val="00E209C9"/>
    <w:rsid w:val="00E20D36"/>
    <w:rsid w:val="00E21D49"/>
    <w:rsid w:val="00E245B3"/>
    <w:rsid w:val="00E24A85"/>
    <w:rsid w:val="00E24CFF"/>
    <w:rsid w:val="00E256DE"/>
    <w:rsid w:val="00E2582C"/>
    <w:rsid w:val="00E25939"/>
    <w:rsid w:val="00E262C1"/>
    <w:rsid w:val="00E26F3A"/>
    <w:rsid w:val="00E30FBF"/>
    <w:rsid w:val="00E3250C"/>
    <w:rsid w:val="00E34B85"/>
    <w:rsid w:val="00E35662"/>
    <w:rsid w:val="00E35F35"/>
    <w:rsid w:val="00E41159"/>
    <w:rsid w:val="00E41603"/>
    <w:rsid w:val="00E42579"/>
    <w:rsid w:val="00E43305"/>
    <w:rsid w:val="00E43339"/>
    <w:rsid w:val="00E43B3D"/>
    <w:rsid w:val="00E43CB7"/>
    <w:rsid w:val="00E44014"/>
    <w:rsid w:val="00E44E3E"/>
    <w:rsid w:val="00E45A0A"/>
    <w:rsid w:val="00E47CA7"/>
    <w:rsid w:val="00E500BE"/>
    <w:rsid w:val="00E5076C"/>
    <w:rsid w:val="00E50FDF"/>
    <w:rsid w:val="00E510FD"/>
    <w:rsid w:val="00E5158D"/>
    <w:rsid w:val="00E53610"/>
    <w:rsid w:val="00E576DD"/>
    <w:rsid w:val="00E577E3"/>
    <w:rsid w:val="00E602E2"/>
    <w:rsid w:val="00E60BB0"/>
    <w:rsid w:val="00E60FDD"/>
    <w:rsid w:val="00E611B4"/>
    <w:rsid w:val="00E6163B"/>
    <w:rsid w:val="00E6175F"/>
    <w:rsid w:val="00E618CF"/>
    <w:rsid w:val="00E62A03"/>
    <w:rsid w:val="00E62D00"/>
    <w:rsid w:val="00E6366B"/>
    <w:rsid w:val="00E63FC1"/>
    <w:rsid w:val="00E656F1"/>
    <w:rsid w:val="00E65934"/>
    <w:rsid w:val="00E6618E"/>
    <w:rsid w:val="00E67718"/>
    <w:rsid w:val="00E70C24"/>
    <w:rsid w:val="00E72A34"/>
    <w:rsid w:val="00E72C60"/>
    <w:rsid w:val="00E74C0A"/>
    <w:rsid w:val="00E754D9"/>
    <w:rsid w:val="00E82158"/>
    <w:rsid w:val="00E83B73"/>
    <w:rsid w:val="00E85432"/>
    <w:rsid w:val="00E85EF7"/>
    <w:rsid w:val="00E865C6"/>
    <w:rsid w:val="00E91A76"/>
    <w:rsid w:val="00E923DF"/>
    <w:rsid w:val="00E92668"/>
    <w:rsid w:val="00E92BBA"/>
    <w:rsid w:val="00E9315C"/>
    <w:rsid w:val="00E93259"/>
    <w:rsid w:val="00E9333C"/>
    <w:rsid w:val="00E93953"/>
    <w:rsid w:val="00E94E11"/>
    <w:rsid w:val="00E9544B"/>
    <w:rsid w:val="00E95E27"/>
    <w:rsid w:val="00E963D5"/>
    <w:rsid w:val="00E97186"/>
    <w:rsid w:val="00E97289"/>
    <w:rsid w:val="00E97BE2"/>
    <w:rsid w:val="00E97E07"/>
    <w:rsid w:val="00EA1983"/>
    <w:rsid w:val="00EA1D60"/>
    <w:rsid w:val="00EA2443"/>
    <w:rsid w:val="00EA277C"/>
    <w:rsid w:val="00EA3161"/>
    <w:rsid w:val="00EA341A"/>
    <w:rsid w:val="00EA3D9B"/>
    <w:rsid w:val="00EA51ED"/>
    <w:rsid w:val="00EA62C2"/>
    <w:rsid w:val="00EA7134"/>
    <w:rsid w:val="00EB122A"/>
    <w:rsid w:val="00EB1502"/>
    <w:rsid w:val="00EB3143"/>
    <w:rsid w:val="00EB3B42"/>
    <w:rsid w:val="00EB46DB"/>
    <w:rsid w:val="00EB5389"/>
    <w:rsid w:val="00EB5B40"/>
    <w:rsid w:val="00EB694B"/>
    <w:rsid w:val="00EB6BF2"/>
    <w:rsid w:val="00EC07FE"/>
    <w:rsid w:val="00EC0DD9"/>
    <w:rsid w:val="00EC1692"/>
    <w:rsid w:val="00EC233E"/>
    <w:rsid w:val="00EC2A74"/>
    <w:rsid w:val="00EC309D"/>
    <w:rsid w:val="00EC36B6"/>
    <w:rsid w:val="00EC3DB8"/>
    <w:rsid w:val="00EC3EF4"/>
    <w:rsid w:val="00EC4FB2"/>
    <w:rsid w:val="00EC5D29"/>
    <w:rsid w:val="00EC674F"/>
    <w:rsid w:val="00EC67F8"/>
    <w:rsid w:val="00EC6BB2"/>
    <w:rsid w:val="00EC7593"/>
    <w:rsid w:val="00EC7E8D"/>
    <w:rsid w:val="00ED0178"/>
    <w:rsid w:val="00ED0908"/>
    <w:rsid w:val="00ED09A5"/>
    <w:rsid w:val="00ED24B5"/>
    <w:rsid w:val="00ED365B"/>
    <w:rsid w:val="00ED3E6E"/>
    <w:rsid w:val="00ED40BC"/>
    <w:rsid w:val="00ED6314"/>
    <w:rsid w:val="00ED65CA"/>
    <w:rsid w:val="00ED69ED"/>
    <w:rsid w:val="00ED78FD"/>
    <w:rsid w:val="00EE00BB"/>
    <w:rsid w:val="00EE151D"/>
    <w:rsid w:val="00EE1A93"/>
    <w:rsid w:val="00EE3BF8"/>
    <w:rsid w:val="00EE3F47"/>
    <w:rsid w:val="00EE5617"/>
    <w:rsid w:val="00EE5881"/>
    <w:rsid w:val="00EE5EEE"/>
    <w:rsid w:val="00EE65C1"/>
    <w:rsid w:val="00EE68BB"/>
    <w:rsid w:val="00EE798B"/>
    <w:rsid w:val="00EE7E6B"/>
    <w:rsid w:val="00EF0084"/>
    <w:rsid w:val="00EF1C23"/>
    <w:rsid w:val="00EF1CDB"/>
    <w:rsid w:val="00EF22B2"/>
    <w:rsid w:val="00EF5080"/>
    <w:rsid w:val="00EF5C2D"/>
    <w:rsid w:val="00EF6D95"/>
    <w:rsid w:val="00EF7023"/>
    <w:rsid w:val="00EF74B7"/>
    <w:rsid w:val="00EF74F9"/>
    <w:rsid w:val="00F004B8"/>
    <w:rsid w:val="00F00FF2"/>
    <w:rsid w:val="00F011A6"/>
    <w:rsid w:val="00F02AF0"/>
    <w:rsid w:val="00F03D71"/>
    <w:rsid w:val="00F052AC"/>
    <w:rsid w:val="00F053FF"/>
    <w:rsid w:val="00F05739"/>
    <w:rsid w:val="00F07E89"/>
    <w:rsid w:val="00F1364E"/>
    <w:rsid w:val="00F14EB0"/>
    <w:rsid w:val="00F15011"/>
    <w:rsid w:val="00F16C69"/>
    <w:rsid w:val="00F239AA"/>
    <w:rsid w:val="00F23AD6"/>
    <w:rsid w:val="00F2661D"/>
    <w:rsid w:val="00F27689"/>
    <w:rsid w:val="00F3005F"/>
    <w:rsid w:val="00F339C0"/>
    <w:rsid w:val="00F37F84"/>
    <w:rsid w:val="00F41396"/>
    <w:rsid w:val="00F41502"/>
    <w:rsid w:val="00F41D44"/>
    <w:rsid w:val="00F42551"/>
    <w:rsid w:val="00F42DBD"/>
    <w:rsid w:val="00F43053"/>
    <w:rsid w:val="00F437C4"/>
    <w:rsid w:val="00F456CE"/>
    <w:rsid w:val="00F45E84"/>
    <w:rsid w:val="00F46CF9"/>
    <w:rsid w:val="00F5230D"/>
    <w:rsid w:val="00F54269"/>
    <w:rsid w:val="00F562D7"/>
    <w:rsid w:val="00F563AA"/>
    <w:rsid w:val="00F56488"/>
    <w:rsid w:val="00F60AC6"/>
    <w:rsid w:val="00F61EBB"/>
    <w:rsid w:val="00F62311"/>
    <w:rsid w:val="00F63E2E"/>
    <w:rsid w:val="00F64E1C"/>
    <w:rsid w:val="00F65AC5"/>
    <w:rsid w:val="00F71B49"/>
    <w:rsid w:val="00F722F7"/>
    <w:rsid w:val="00F76387"/>
    <w:rsid w:val="00F7735F"/>
    <w:rsid w:val="00F7776A"/>
    <w:rsid w:val="00F77A65"/>
    <w:rsid w:val="00F81637"/>
    <w:rsid w:val="00F81C9E"/>
    <w:rsid w:val="00F82CDA"/>
    <w:rsid w:val="00F82DF4"/>
    <w:rsid w:val="00F839EA"/>
    <w:rsid w:val="00F843E3"/>
    <w:rsid w:val="00F849EF"/>
    <w:rsid w:val="00F85037"/>
    <w:rsid w:val="00F857D6"/>
    <w:rsid w:val="00F8601E"/>
    <w:rsid w:val="00F86A9A"/>
    <w:rsid w:val="00F93BC2"/>
    <w:rsid w:val="00F950DC"/>
    <w:rsid w:val="00F9560F"/>
    <w:rsid w:val="00F95B2C"/>
    <w:rsid w:val="00F95BC5"/>
    <w:rsid w:val="00F95D3F"/>
    <w:rsid w:val="00F95E55"/>
    <w:rsid w:val="00F96833"/>
    <w:rsid w:val="00F97D98"/>
    <w:rsid w:val="00F97DD8"/>
    <w:rsid w:val="00FA0850"/>
    <w:rsid w:val="00FA1340"/>
    <w:rsid w:val="00FA195B"/>
    <w:rsid w:val="00FA26BB"/>
    <w:rsid w:val="00FA2724"/>
    <w:rsid w:val="00FA4567"/>
    <w:rsid w:val="00FA7479"/>
    <w:rsid w:val="00FB06B7"/>
    <w:rsid w:val="00FB1735"/>
    <w:rsid w:val="00FB2BFF"/>
    <w:rsid w:val="00FB2D97"/>
    <w:rsid w:val="00FB3D8F"/>
    <w:rsid w:val="00FB4BAA"/>
    <w:rsid w:val="00FB5B0D"/>
    <w:rsid w:val="00FB5CEF"/>
    <w:rsid w:val="00FB646E"/>
    <w:rsid w:val="00FB7826"/>
    <w:rsid w:val="00FB7CAB"/>
    <w:rsid w:val="00FC0215"/>
    <w:rsid w:val="00FC0223"/>
    <w:rsid w:val="00FC1551"/>
    <w:rsid w:val="00FC21DC"/>
    <w:rsid w:val="00FC2826"/>
    <w:rsid w:val="00FC2A35"/>
    <w:rsid w:val="00FC2E62"/>
    <w:rsid w:val="00FC562D"/>
    <w:rsid w:val="00FC6131"/>
    <w:rsid w:val="00FC695B"/>
    <w:rsid w:val="00FC6B00"/>
    <w:rsid w:val="00FC6BAA"/>
    <w:rsid w:val="00FC7A6A"/>
    <w:rsid w:val="00FD2338"/>
    <w:rsid w:val="00FD2E14"/>
    <w:rsid w:val="00FD309C"/>
    <w:rsid w:val="00FD69FA"/>
    <w:rsid w:val="00FE09E7"/>
    <w:rsid w:val="00FE2B2E"/>
    <w:rsid w:val="00FE309C"/>
    <w:rsid w:val="00FE554E"/>
    <w:rsid w:val="00FE711B"/>
    <w:rsid w:val="00FF02CA"/>
    <w:rsid w:val="00FF05F7"/>
    <w:rsid w:val="00FF1216"/>
    <w:rsid w:val="00FF1A0D"/>
    <w:rsid w:val="00FF28E3"/>
    <w:rsid w:val="00FF49CA"/>
    <w:rsid w:val="00FF5EC4"/>
    <w:rsid w:val="00FF5FA2"/>
    <w:rsid w:val="00FF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colormru v:ext="edit" colors="#0f243e,#b2b2b2,#bfbfbf,#5a5a5a,#dedede,#333,#7f7f7f,#f9740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0E4"/>
    <w:pPr>
      <w:jc w:val="both"/>
    </w:pPr>
    <w:rPr>
      <w:rFonts w:ascii="Times New Roman" w:hAnsi="Times New Roman"/>
      <w:sz w:val="22"/>
      <w:szCs w:val="24"/>
      <w:lang w:eastAsia="en-US"/>
    </w:rPr>
  </w:style>
  <w:style w:type="paragraph" w:styleId="Heading1">
    <w:name w:val="heading 1"/>
    <w:basedOn w:val="Normal"/>
    <w:next w:val="Normal"/>
    <w:link w:val="Heading1Char"/>
    <w:autoRedefine/>
    <w:uiPriority w:val="9"/>
    <w:qFormat/>
    <w:rsid w:val="00821701"/>
    <w:pPr>
      <w:keepNext/>
      <w:numPr>
        <w:numId w:val="28"/>
      </w:numPr>
      <w:spacing w:after="60"/>
      <w:jc w:val="center"/>
      <w:outlineLvl w:val="0"/>
    </w:pPr>
    <w:rPr>
      <w:b/>
      <w:bCs/>
      <w:kern w:val="32"/>
      <w:sz w:val="24"/>
      <w:szCs w:val="32"/>
    </w:rPr>
  </w:style>
  <w:style w:type="paragraph" w:styleId="Heading2">
    <w:name w:val="heading 2"/>
    <w:basedOn w:val="Normal"/>
    <w:next w:val="Normal"/>
    <w:link w:val="Heading2Char"/>
    <w:autoRedefine/>
    <w:uiPriority w:val="9"/>
    <w:unhideWhenUsed/>
    <w:qFormat/>
    <w:rsid w:val="00965F72"/>
    <w:pPr>
      <w:keepNext/>
      <w:numPr>
        <w:ilvl w:val="1"/>
        <w:numId w:val="28"/>
      </w:numPr>
      <w:spacing w:before="120" w:after="60" w:line="360" w:lineRule="auto"/>
      <w:outlineLvl w:val="1"/>
    </w:pPr>
    <w:rPr>
      <w:b/>
      <w:bCs/>
      <w:iCs/>
      <w:sz w:val="24"/>
      <w:szCs w:val="28"/>
    </w:rPr>
  </w:style>
  <w:style w:type="paragraph" w:styleId="Heading3">
    <w:name w:val="heading 3"/>
    <w:basedOn w:val="Normal"/>
    <w:next w:val="Normal"/>
    <w:link w:val="Heading3Char"/>
    <w:autoRedefine/>
    <w:uiPriority w:val="9"/>
    <w:unhideWhenUsed/>
    <w:qFormat/>
    <w:rsid w:val="004D37E7"/>
    <w:pPr>
      <w:keepNext/>
      <w:spacing w:before="120" w:after="60"/>
      <w:outlineLvl w:val="2"/>
    </w:pPr>
    <w:rPr>
      <w:b/>
      <w:bCs/>
      <w:i/>
      <w:szCs w:val="26"/>
    </w:rPr>
  </w:style>
  <w:style w:type="paragraph" w:styleId="Heading4">
    <w:name w:val="heading 4"/>
    <w:basedOn w:val="Normal"/>
    <w:next w:val="Normal"/>
    <w:link w:val="Heading4Char"/>
    <w:autoRedefine/>
    <w:uiPriority w:val="9"/>
    <w:unhideWhenUsed/>
    <w:qFormat/>
    <w:rsid w:val="00FF5FA2"/>
    <w:pPr>
      <w:keepNext/>
      <w:spacing w:before="120" w:after="60" w:line="360" w:lineRule="auto"/>
      <w:outlineLvl w:val="3"/>
    </w:pPr>
    <w:rPr>
      <w:bCs/>
      <w:i/>
      <w:szCs w:val="28"/>
    </w:rPr>
  </w:style>
  <w:style w:type="paragraph" w:styleId="Heading5">
    <w:name w:val="heading 5"/>
    <w:basedOn w:val="Normal"/>
    <w:next w:val="Normal"/>
    <w:link w:val="Heading5Char"/>
    <w:uiPriority w:val="9"/>
    <w:semiHidden/>
    <w:unhideWhenUsed/>
    <w:qFormat/>
    <w:rsid w:val="00034C37"/>
    <w:pPr>
      <w:keepNext/>
      <w:keepLines/>
      <w:numPr>
        <w:ilvl w:val="4"/>
        <w:numId w:val="28"/>
      </w:numPr>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EE7E6B"/>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E7E6B"/>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7E6B"/>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E7E6B"/>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701"/>
    <w:rPr>
      <w:rFonts w:ascii="Times New Roman" w:hAnsi="Times New Roman"/>
      <w:b/>
      <w:bCs/>
      <w:kern w:val="32"/>
      <w:sz w:val="24"/>
      <w:szCs w:val="32"/>
      <w:lang w:eastAsia="en-US"/>
    </w:rPr>
  </w:style>
  <w:style w:type="character" w:customStyle="1" w:styleId="Heading2Char">
    <w:name w:val="Heading 2 Char"/>
    <w:basedOn w:val="DefaultParagraphFont"/>
    <w:link w:val="Heading2"/>
    <w:uiPriority w:val="9"/>
    <w:rsid w:val="00965F72"/>
    <w:rPr>
      <w:rFonts w:ascii="Times New Roman" w:hAnsi="Times New Roman"/>
      <w:b/>
      <w:bCs/>
      <w:iCs/>
      <w:sz w:val="24"/>
      <w:szCs w:val="28"/>
      <w:lang w:eastAsia="en-US"/>
    </w:rPr>
  </w:style>
  <w:style w:type="character" w:customStyle="1" w:styleId="Heading3Char">
    <w:name w:val="Heading 3 Char"/>
    <w:basedOn w:val="DefaultParagraphFont"/>
    <w:link w:val="Heading3"/>
    <w:uiPriority w:val="9"/>
    <w:rsid w:val="004D37E7"/>
    <w:rPr>
      <w:rFonts w:ascii="Times New Roman" w:hAnsi="Times New Roman"/>
      <w:b/>
      <w:bCs/>
      <w:i/>
      <w:sz w:val="22"/>
      <w:szCs w:val="26"/>
      <w:lang w:eastAsia="en-US"/>
    </w:rPr>
  </w:style>
  <w:style w:type="character" w:customStyle="1" w:styleId="Heading4Char">
    <w:name w:val="Heading 4 Char"/>
    <w:basedOn w:val="DefaultParagraphFont"/>
    <w:link w:val="Heading4"/>
    <w:uiPriority w:val="9"/>
    <w:rsid w:val="00FF5FA2"/>
    <w:rPr>
      <w:rFonts w:ascii="Times New Roman" w:hAnsi="Times New Roman"/>
      <w:bCs/>
      <w:i/>
      <w:sz w:val="22"/>
      <w:szCs w:val="28"/>
      <w:lang w:eastAsia="en-US"/>
    </w:rPr>
  </w:style>
  <w:style w:type="character" w:styleId="Hyperlink">
    <w:name w:val="Hyperlink"/>
    <w:basedOn w:val="DefaultParagraphFont"/>
    <w:uiPriority w:val="99"/>
    <w:unhideWhenUsed/>
    <w:rsid w:val="0091106A"/>
    <w:rPr>
      <w:color w:val="0000FF"/>
      <w:u w:val="single"/>
    </w:rPr>
  </w:style>
  <w:style w:type="paragraph" w:styleId="BalloonText">
    <w:name w:val="Balloon Text"/>
    <w:basedOn w:val="Normal"/>
    <w:link w:val="BalloonTextChar"/>
    <w:uiPriority w:val="99"/>
    <w:semiHidden/>
    <w:unhideWhenUsed/>
    <w:rsid w:val="002B6585"/>
    <w:rPr>
      <w:rFonts w:ascii="Tahoma" w:hAnsi="Tahoma" w:cs="Tahoma"/>
      <w:sz w:val="16"/>
      <w:szCs w:val="16"/>
    </w:rPr>
  </w:style>
  <w:style w:type="character" w:customStyle="1" w:styleId="BalloonTextChar">
    <w:name w:val="Balloon Text Char"/>
    <w:basedOn w:val="DefaultParagraphFont"/>
    <w:link w:val="BalloonText"/>
    <w:uiPriority w:val="99"/>
    <w:semiHidden/>
    <w:rsid w:val="002B6585"/>
    <w:rPr>
      <w:rFonts w:ascii="Tahoma" w:hAnsi="Tahoma" w:cs="Tahoma"/>
      <w:sz w:val="16"/>
      <w:szCs w:val="16"/>
    </w:rPr>
  </w:style>
  <w:style w:type="table" w:styleId="TableGrid">
    <w:name w:val="Table Grid"/>
    <w:basedOn w:val="TableNormal"/>
    <w:uiPriority w:val="59"/>
    <w:rsid w:val="002B65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454893"/>
    <w:pPr>
      <w:spacing w:before="100" w:beforeAutospacing="1" w:after="100" w:afterAutospacing="1"/>
      <w:jc w:val="left"/>
    </w:pPr>
    <w:rPr>
      <w:sz w:val="24"/>
      <w:lang w:eastAsia="en-GB"/>
    </w:rPr>
  </w:style>
  <w:style w:type="character" w:customStyle="1" w:styleId="highlight">
    <w:name w:val="highlight"/>
    <w:basedOn w:val="DefaultParagraphFont"/>
    <w:rsid w:val="00B80B7D"/>
    <w:rPr>
      <w:b/>
      <w:bCs/>
    </w:rPr>
  </w:style>
  <w:style w:type="paragraph" w:customStyle="1" w:styleId="ChapterTitle">
    <w:name w:val="Chapter Title"/>
    <w:basedOn w:val="Normal"/>
    <w:rsid w:val="00336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center"/>
    </w:pPr>
    <w:rPr>
      <w:b/>
      <w:color w:val="000000"/>
      <w:sz w:val="44"/>
      <w:szCs w:val="20"/>
      <w:lang w:val="en-US" w:eastAsia="en-GB"/>
    </w:rPr>
  </w:style>
  <w:style w:type="paragraph" w:styleId="ListParagraph">
    <w:name w:val="List Paragraph"/>
    <w:basedOn w:val="Normal"/>
    <w:uiPriority w:val="34"/>
    <w:qFormat/>
    <w:rsid w:val="00D42228"/>
    <w:pPr>
      <w:ind w:left="720"/>
      <w:contextualSpacing/>
    </w:pPr>
  </w:style>
  <w:style w:type="character" w:styleId="FollowedHyperlink">
    <w:name w:val="FollowedHyperlink"/>
    <w:basedOn w:val="DefaultParagraphFont"/>
    <w:uiPriority w:val="99"/>
    <w:semiHidden/>
    <w:unhideWhenUsed/>
    <w:rsid w:val="00B6616D"/>
    <w:rPr>
      <w:color w:val="800080"/>
      <w:u w:val="single"/>
    </w:rPr>
  </w:style>
  <w:style w:type="paragraph" w:styleId="NormalWeb">
    <w:name w:val="Normal (Web)"/>
    <w:basedOn w:val="Normal"/>
    <w:uiPriority w:val="99"/>
    <w:unhideWhenUsed/>
    <w:rsid w:val="00A8607C"/>
    <w:pPr>
      <w:spacing w:after="300"/>
      <w:jc w:val="left"/>
    </w:pPr>
    <w:rPr>
      <w:sz w:val="24"/>
      <w:lang w:eastAsia="en-GB"/>
    </w:rPr>
  </w:style>
  <w:style w:type="character" w:styleId="Strong">
    <w:name w:val="Strong"/>
    <w:basedOn w:val="DefaultParagraphFont"/>
    <w:uiPriority w:val="22"/>
    <w:qFormat/>
    <w:rsid w:val="00A8607C"/>
    <w:rPr>
      <w:b/>
      <w:bCs/>
    </w:rPr>
  </w:style>
  <w:style w:type="paragraph" w:customStyle="1" w:styleId="Default">
    <w:name w:val="Default"/>
    <w:rsid w:val="006D60E3"/>
    <w:pPr>
      <w:autoSpaceDE w:val="0"/>
      <w:autoSpaceDN w:val="0"/>
      <w:adjustRightInd w:val="0"/>
    </w:pPr>
    <w:rPr>
      <w:rFonts w:ascii="Arial" w:hAnsi="Arial" w:cs="Arial"/>
      <w:color w:val="000000"/>
      <w:sz w:val="24"/>
      <w:szCs w:val="24"/>
      <w:lang w:eastAsia="en-US"/>
    </w:rPr>
  </w:style>
  <w:style w:type="character" w:customStyle="1" w:styleId="Heading5Char">
    <w:name w:val="Heading 5 Char"/>
    <w:basedOn w:val="DefaultParagraphFont"/>
    <w:link w:val="Heading5"/>
    <w:uiPriority w:val="9"/>
    <w:semiHidden/>
    <w:rsid w:val="00034C37"/>
    <w:rPr>
      <w:rFonts w:ascii="Cambria" w:hAnsi="Cambria"/>
      <w:color w:val="243F60"/>
      <w:sz w:val="22"/>
      <w:szCs w:val="24"/>
      <w:lang w:eastAsia="en-US"/>
    </w:rPr>
  </w:style>
  <w:style w:type="paragraph" w:customStyle="1" w:styleId="txtbluenormaltext10">
    <w:name w:val="txtbluenormaltext10"/>
    <w:basedOn w:val="Normal"/>
    <w:rsid w:val="00034C37"/>
    <w:pPr>
      <w:spacing w:before="100" w:beforeAutospacing="1" w:after="100" w:afterAutospacing="1"/>
      <w:jc w:val="left"/>
    </w:pPr>
    <w:rPr>
      <w:rFonts w:ascii="Arial" w:hAnsi="Arial" w:cs="Arial"/>
      <w:color w:val="2A377E"/>
      <w:sz w:val="20"/>
      <w:szCs w:val="20"/>
      <w:lang w:eastAsia="en-GB"/>
    </w:rPr>
  </w:style>
  <w:style w:type="character" w:customStyle="1" w:styleId="submitted">
    <w:name w:val="submitted"/>
    <w:basedOn w:val="DefaultParagraphFont"/>
    <w:rsid w:val="00034C37"/>
    <w:rPr>
      <w:color w:val="898989"/>
      <w:sz w:val="22"/>
      <w:szCs w:val="22"/>
    </w:rPr>
  </w:style>
  <w:style w:type="paragraph" w:styleId="Caption">
    <w:name w:val="caption"/>
    <w:basedOn w:val="Normal"/>
    <w:next w:val="Normal"/>
    <w:uiPriority w:val="35"/>
    <w:unhideWhenUsed/>
    <w:qFormat/>
    <w:rsid w:val="00422447"/>
    <w:pPr>
      <w:spacing w:after="200"/>
    </w:pPr>
    <w:rPr>
      <w:b/>
      <w:bCs/>
      <w:sz w:val="18"/>
      <w:szCs w:val="18"/>
    </w:rPr>
  </w:style>
  <w:style w:type="paragraph" w:customStyle="1" w:styleId="txtblueheadleft18">
    <w:name w:val="txtblueheadleft18"/>
    <w:basedOn w:val="Normal"/>
    <w:rsid w:val="008B3753"/>
    <w:pPr>
      <w:spacing w:before="100" w:beforeAutospacing="1" w:after="100" w:afterAutospacing="1"/>
      <w:jc w:val="left"/>
    </w:pPr>
    <w:rPr>
      <w:rFonts w:ascii="Arial" w:hAnsi="Arial" w:cs="Arial"/>
      <w:b/>
      <w:bCs/>
      <w:color w:val="2A377E"/>
      <w:sz w:val="36"/>
      <w:szCs w:val="36"/>
      <w:lang w:eastAsia="en-GB"/>
    </w:rPr>
  </w:style>
  <w:style w:type="paragraph" w:styleId="HTMLPreformatted">
    <w:name w:val="HTML Preformatted"/>
    <w:basedOn w:val="Normal"/>
    <w:link w:val="HTMLPreformattedChar"/>
    <w:uiPriority w:val="99"/>
    <w:semiHidden/>
    <w:unhideWhenUsed/>
    <w:rsid w:val="00574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36"/>
      <w:szCs w:val="36"/>
      <w:lang w:eastAsia="en-GB"/>
    </w:rPr>
  </w:style>
  <w:style w:type="character" w:customStyle="1" w:styleId="HTMLPreformattedChar">
    <w:name w:val="HTML Preformatted Char"/>
    <w:basedOn w:val="DefaultParagraphFont"/>
    <w:link w:val="HTMLPreformatted"/>
    <w:uiPriority w:val="99"/>
    <w:semiHidden/>
    <w:rsid w:val="005740DA"/>
    <w:rPr>
      <w:rFonts w:ascii="Courier New" w:hAnsi="Courier New" w:cs="Courier New"/>
      <w:sz w:val="36"/>
      <w:szCs w:val="36"/>
    </w:rPr>
  </w:style>
  <w:style w:type="paragraph" w:customStyle="1" w:styleId="minicontact">
    <w:name w:val="minicontact"/>
    <w:basedOn w:val="Normal"/>
    <w:rsid w:val="002C28F6"/>
    <w:pPr>
      <w:spacing w:before="100" w:beforeAutospacing="1" w:after="240"/>
      <w:jc w:val="left"/>
    </w:pPr>
    <w:rPr>
      <w:sz w:val="24"/>
      <w:lang w:eastAsia="en-GB"/>
    </w:rPr>
  </w:style>
  <w:style w:type="character" w:customStyle="1" w:styleId="address1">
    <w:name w:val="address1"/>
    <w:basedOn w:val="DefaultParagraphFont"/>
    <w:rsid w:val="002C28F6"/>
  </w:style>
  <w:style w:type="character" w:customStyle="1" w:styleId="mini-address">
    <w:name w:val="mini-address"/>
    <w:basedOn w:val="DefaultParagraphFont"/>
    <w:rsid w:val="002C28F6"/>
  </w:style>
  <w:style w:type="character" w:customStyle="1" w:styleId="address2">
    <w:name w:val="address2"/>
    <w:basedOn w:val="DefaultParagraphFont"/>
    <w:rsid w:val="000A34C8"/>
  </w:style>
  <w:style w:type="character" w:customStyle="1" w:styleId="bodytextbrownbold1">
    <w:name w:val="bodytextbrownbold1"/>
    <w:basedOn w:val="DefaultParagraphFont"/>
    <w:rsid w:val="00B90CF5"/>
    <w:rPr>
      <w:rFonts w:ascii="Segoe UI" w:hAnsi="Segoe UI" w:cs="Segoe UI" w:hint="default"/>
      <w:b/>
      <w:bCs/>
      <w:i w:val="0"/>
      <w:iCs w:val="0"/>
      <w:color w:val="CC6633"/>
      <w:spacing w:val="0"/>
      <w:sz w:val="18"/>
      <w:szCs w:val="18"/>
    </w:rPr>
  </w:style>
  <w:style w:type="character" w:customStyle="1" w:styleId="bodytextgrey1">
    <w:name w:val="bodytextgrey1"/>
    <w:basedOn w:val="DefaultParagraphFont"/>
    <w:rsid w:val="00B90CF5"/>
    <w:rPr>
      <w:rFonts w:ascii="Segoe UI" w:hAnsi="Segoe UI" w:cs="Segoe UI" w:hint="default"/>
      <w:b w:val="0"/>
      <w:bCs w:val="0"/>
      <w:i w:val="0"/>
      <w:iCs w:val="0"/>
      <w:color w:val="666666"/>
      <w:spacing w:val="0"/>
      <w:sz w:val="18"/>
      <w:szCs w:val="18"/>
    </w:rPr>
  </w:style>
  <w:style w:type="paragraph" w:styleId="PlainText">
    <w:name w:val="Plain Text"/>
    <w:basedOn w:val="Normal"/>
    <w:link w:val="PlainTextChar"/>
    <w:uiPriority w:val="99"/>
    <w:unhideWhenUsed/>
    <w:rsid w:val="00D05200"/>
    <w:pPr>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D05200"/>
    <w:rPr>
      <w:rFonts w:ascii="Consolas" w:eastAsia="Calibri" w:hAnsi="Consolas" w:cs="Times New Roman"/>
      <w:sz w:val="21"/>
      <w:szCs w:val="21"/>
      <w:lang w:eastAsia="en-US"/>
    </w:rPr>
  </w:style>
  <w:style w:type="character" w:customStyle="1" w:styleId="databold">
    <w:name w:val="data_bold"/>
    <w:basedOn w:val="DefaultParagraphFont"/>
    <w:rsid w:val="00A71E7E"/>
  </w:style>
  <w:style w:type="paragraph" w:styleId="BodyText">
    <w:name w:val="Body Text"/>
    <w:basedOn w:val="Default"/>
    <w:next w:val="Default"/>
    <w:link w:val="BodyTextChar"/>
    <w:uiPriority w:val="99"/>
    <w:rsid w:val="00DF5F7A"/>
    <w:rPr>
      <w:color w:val="auto"/>
      <w:lang w:eastAsia="en-GB"/>
    </w:rPr>
  </w:style>
  <w:style w:type="character" w:customStyle="1" w:styleId="BodyTextChar">
    <w:name w:val="Body Text Char"/>
    <w:basedOn w:val="DefaultParagraphFont"/>
    <w:link w:val="BodyText"/>
    <w:uiPriority w:val="99"/>
    <w:rsid w:val="00DF5F7A"/>
    <w:rPr>
      <w:rFonts w:ascii="Arial" w:hAnsi="Arial" w:cs="Arial"/>
      <w:sz w:val="24"/>
      <w:szCs w:val="24"/>
    </w:rPr>
  </w:style>
  <w:style w:type="paragraph" w:customStyle="1" w:styleId="NormalText">
    <w:name w:val="Normal Text"/>
    <w:basedOn w:val="Default"/>
    <w:next w:val="Default"/>
    <w:uiPriority w:val="99"/>
    <w:rsid w:val="00480191"/>
    <w:rPr>
      <w:color w:val="auto"/>
      <w:lang w:eastAsia="en-GB"/>
    </w:rPr>
  </w:style>
  <w:style w:type="paragraph" w:styleId="Title">
    <w:name w:val="Title"/>
    <w:basedOn w:val="Normal"/>
    <w:next w:val="Normal"/>
    <w:link w:val="TitleChar"/>
    <w:uiPriority w:val="10"/>
    <w:qFormat/>
    <w:rsid w:val="00EE7E6B"/>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EE7E6B"/>
    <w:rPr>
      <w:rFonts w:ascii="Times New Roman" w:eastAsiaTheme="majorEastAsia" w:hAnsi="Times New Roman" w:cstheme="majorBidi"/>
      <w:b/>
      <w:kern w:val="28"/>
      <w:sz w:val="24"/>
      <w:szCs w:val="52"/>
      <w:lang w:eastAsia="en-US"/>
    </w:rPr>
  </w:style>
  <w:style w:type="character" w:customStyle="1" w:styleId="Heading6Char">
    <w:name w:val="Heading 6 Char"/>
    <w:basedOn w:val="DefaultParagraphFont"/>
    <w:link w:val="Heading6"/>
    <w:uiPriority w:val="9"/>
    <w:semiHidden/>
    <w:rsid w:val="00EE7E6B"/>
    <w:rPr>
      <w:rFonts w:asciiTheme="majorHAnsi" w:eastAsiaTheme="majorEastAsia" w:hAnsiTheme="majorHAnsi" w:cstheme="majorBidi"/>
      <w:i/>
      <w:iCs/>
      <w:color w:val="243F60" w:themeColor="accent1" w:themeShade="7F"/>
      <w:sz w:val="22"/>
      <w:szCs w:val="24"/>
      <w:lang w:eastAsia="en-US"/>
    </w:rPr>
  </w:style>
  <w:style w:type="character" w:customStyle="1" w:styleId="Heading7Char">
    <w:name w:val="Heading 7 Char"/>
    <w:basedOn w:val="DefaultParagraphFont"/>
    <w:link w:val="Heading7"/>
    <w:uiPriority w:val="9"/>
    <w:semiHidden/>
    <w:rsid w:val="00EE7E6B"/>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uiPriority w:val="9"/>
    <w:semiHidden/>
    <w:rsid w:val="00EE7E6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EE7E6B"/>
    <w:rPr>
      <w:rFonts w:asciiTheme="majorHAnsi" w:eastAsiaTheme="majorEastAsia" w:hAnsiTheme="majorHAnsi" w:cstheme="majorBidi"/>
      <w:i/>
      <w:iCs/>
      <w:color w:val="404040" w:themeColor="text1" w:themeTint="BF"/>
      <w:lang w:eastAsia="en-US"/>
    </w:rPr>
  </w:style>
  <w:style w:type="paragraph" w:styleId="ListBullet">
    <w:name w:val="List Bullet"/>
    <w:basedOn w:val="List"/>
    <w:semiHidden/>
    <w:rsid w:val="00C362BD"/>
    <w:pPr>
      <w:overflowPunct w:val="0"/>
      <w:autoSpaceDE w:val="0"/>
      <w:autoSpaceDN w:val="0"/>
      <w:adjustRightInd w:val="0"/>
      <w:spacing w:after="240"/>
      <w:ind w:left="720" w:right="360" w:hanging="360"/>
      <w:contextualSpacing w:val="0"/>
      <w:textAlignment w:val="baseline"/>
    </w:pPr>
    <w:rPr>
      <w:rFonts w:ascii="Garamond" w:hAnsi="Garamond"/>
      <w:spacing w:val="-5"/>
      <w:sz w:val="24"/>
      <w:szCs w:val="20"/>
      <w:lang w:eastAsia="en-GB"/>
    </w:rPr>
  </w:style>
  <w:style w:type="paragraph" w:styleId="List">
    <w:name w:val="List"/>
    <w:basedOn w:val="Normal"/>
    <w:uiPriority w:val="99"/>
    <w:semiHidden/>
    <w:unhideWhenUsed/>
    <w:rsid w:val="00C362BD"/>
    <w:pPr>
      <w:ind w:left="283" w:hanging="283"/>
      <w:contextualSpacing/>
    </w:pPr>
  </w:style>
  <w:style w:type="character" w:customStyle="1" w:styleId="body1">
    <w:name w:val="body1"/>
    <w:basedOn w:val="DefaultParagraphFont"/>
    <w:rsid w:val="00D80B08"/>
    <w:rPr>
      <w:rFonts w:ascii="Verdana" w:hAnsi="Verdana" w:hint="default"/>
      <w:color w:val="333333"/>
      <w:sz w:val="17"/>
      <w:szCs w:val="17"/>
    </w:rPr>
  </w:style>
  <w:style w:type="paragraph" w:customStyle="1" w:styleId="CM32">
    <w:name w:val="CM32"/>
    <w:basedOn w:val="Default"/>
    <w:next w:val="Default"/>
    <w:uiPriority w:val="99"/>
    <w:rsid w:val="005F300E"/>
    <w:rPr>
      <w:rFonts w:ascii="Univers 55" w:hAnsi="Univers 55" w:cs="Times New Roman"/>
      <w:color w:val="auto"/>
      <w:lang w:eastAsia="en-GB"/>
    </w:rPr>
  </w:style>
  <w:style w:type="paragraph" w:customStyle="1" w:styleId="CM1">
    <w:name w:val="CM1"/>
    <w:basedOn w:val="Default"/>
    <w:next w:val="Default"/>
    <w:uiPriority w:val="99"/>
    <w:rsid w:val="00EF74B7"/>
    <w:rPr>
      <w:rFonts w:ascii="EUAlbertina" w:hAnsi="EUAlbertina" w:cs="Times New Roman"/>
      <w:color w:val="auto"/>
      <w:lang w:eastAsia="en-GB"/>
    </w:rPr>
  </w:style>
  <w:style w:type="paragraph" w:customStyle="1" w:styleId="CM3">
    <w:name w:val="CM3"/>
    <w:basedOn w:val="Default"/>
    <w:next w:val="Default"/>
    <w:uiPriority w:val="99"/>
    <w:rsid w:val="00EF74B7"/>
    <w:rPr>
      <w:rFonts w:ascii="EUAlbertina" w:hAnsi="EUAlbertina" w:cs="Times New Roman"/>
      <w:color w:val="auto"/>
      <w:lang w:eastAsia="en-GB"/>
    </w:rPr>
  </w:style>
  <w:style w:type="paragraph" w:customStyle="1" w:styleId="CM4">
    <w:name w:val="CM4"/>
    <w:basedOn w:val="Default"/>
    <w:next w:val="Default"/>
    <w:uiPriority w:val="99"/>
    <w:rsid w:val="00EF74B7"/>
    <w:rPr>
      <w:rFonts w:ascii="EUAlbertina" w:hAnsi="EUAlbertina" w:cs="Times New Roman"/>
      <w:color w:val="auto"/>
      <w:lang w:eastAsia="en-GB"/>
    </w:rPr>
  </w:style>
  <w:style w:type="character" w:styleId="Emphasis">
    <w:name w:val="Emphasis"/>
    <w:basedOn w:val="DefaultParagraphFont"/>
    <w:qFormat/>
    <w:rsid w:val="003F729A"/>
    <w:rPr>
      <w:i/>
      <w:iCs/>
    </w:rPr>
  </w:style>
  <w:style w:type="character" w:styleId="CommentReference">
    <w:name w:val="annotation reference"/>
    <w:basedOn w:val="DefaultParagraphFont"/>
    <w:uiPriority w:val="99"/>
    <w:semiHidden/>
    <w:unhideWhenUsed/>
    <w:rsid w:val="005200FF"/>
    <w:rPr>
      <w:sz w:val="16"/>
      <w:szCs w:val="16"/>
    </w:rPr>
  </w:style>
  <w:style w:type="paragraph" w:styleId="CommentText">
    <w:name w:val="annotation text"/>
    <w:basedOn w:val="Normal"/>
    <w:link w:val="CommentTextChar"/>
    <w:uiPriority w:val="99"/>
    <w:unhideWhenUsed/>
    <w:rsid w:val="005200FF"/>
    <w:rPr>
      <w:sz w:val="20"/>
      <w:szCs w:val="20"/>
    </w:rPr>
  </w:style>
  <w:style w:type="character" w:customStyle="1" w:styleId="CommentTextChar">
    <w:name w:val="Comment Text Char"/>
    <w:basedOn w:val="DefaultParagraphFont"/>
    <w:link w:val="CommentText"/>
    <w:uiPriority w:val="99"/>
    <w:rsid w:val="005200FF"/>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200FF"/>
    <w:rPr>
      <w:b/>
      <w:bCs/>
    </w:rPr>
  </w:style>
  <w:style w:type="character" w:customStyle="1" w:styleId="CommentSubjectChar">
    <w:name w:val="Comment Subject Char"/>
    <w:basedOn w:val="CommentTextChar"/>
    <w:link w:val="CommentSubject"/>
    <w:uiPriority w:val="99"/>
    <w:semiHidden/>
    <w:rsid w:val="005200FF"/>
    <w:rPr>
      <w:rFonts w:ascii="Times New Roman" w:hAnsi="Times New Roman"/>
      <w:b/>
      <w:bCs/>
      <w:lang w:eastAsia="en-US"/>
    </w:rPr>
  </w:style>
  <w:style w:type="paragraph" w:styleId="Header">
    <w:name w:val="header"/>
    <w:basedOn w:val="Normal"/>
    <w:link w:val="HeaderChar"/>
    <w:uiPriority w:val="99"/>
    <w:unhideWhenUsed/>
    <w:rsid w:val="000D2433"/>
    <w:pPr>
      <w:tabs>
        <w:tab w:val="center" w:pos="4513"/>
        <w:tab w:val="right" w:pos="9026"/>
      </w:tabs>
    </w:pPr>
  </w:style>
  <w:style w:type="character" w:customStyle="1" w:styleId="HeaderChar">
    <w:name w:val="Header Char"/>
    <w:basedOn w:val="DefaultParagraphFont"/>
    <w:link w:val="Header"/>
    <w:uiPriority w:val="99"/>
    <w:rsid w:val="000D2433"/>
    <w:rPr>
      <w:rFonts w:ascii="Times New Roman" w:hAnsi="Times New Roman"/>
      <w:sz w:val="22"/>
      <w:szCs w:val="24"/>
      <w:lang w:eastAsia="en-US"/>
    </w:rPr>
  </w:style>
  <w:style w:type="paragraph" w:styleId="Footer">
    <w:name w:val="footer"/>
    <w:basedOn w:val="Normal"/>
    <w:link w:val="FooterChar"/>
    <w:uiPriority w:val="99"/>
    <w:unhideWhenUsed/>
    <w:rsid w:val="000D2433"/>
    <w:pPr>
      <w:tabs>
        <w:tab w:val="center" w:pos="4513"/>
        <w:tab w:val="right" w:pos="9026"/>
      </w:tabs>
    </w:pPr>
  </w:style>
  <w:style w:type="character" w:customStyle="1" w:styleId="FooterChar">
    <w:name w:val="Footer Char"/>
    <w:basedOn w:val="DefaultParagraphFont"/>
    <w:link w:val="Footer"/>
    <w:uiPriority w:val="99"/>
    <w:rsid w:val="000D2433"/>
    <w:rPr>
      <w:rFonts w:ascii="Times New Roman" w:hAnsi="Times New Roman"/>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0E4"/>
    <w:pPr>
      <w:jc w:val="both"/>
    </w:pPr>
    <w:rPr>
      <w:rFonts w:ascii="Times New Roman" w:hAnsi="Times New Roman"/>
      <w:sz w:val="22"/>
      <w:szCs w:val="24"/>
      <w:lang w:eastAsia="en-US"/>
    </w:rPr>
  </w:style>
  <w:style w:type="paragraph" w:styleId="Heading1">
    <w:name w:val="heading 1"/>
    <w:basedOn w:val="Normal"/>
    <w:next w:val="Normal"/>
    <w:link w:val="Heading1Char"/>
    <w:autoRedefine/>
    <w:uiPriority w:val="9"/>
    <w:qFormat/>
    <w:rsid w:val="00821701"/>
    <w:pPr>
      <w:keepNext/>
      <w:numPr>
        <w:numId w:val="28"/>
      </w:numPr>
      <w:spacing w:after="60"/>
      <w:jc w:val="center"/>
      <w:outlineLvl w:val="0"/>
    </w:pPr>
    <w:rPr>
      <w:b/>
      <w:bCs/>
      <w:kern w:val="32"/>
      <w:sz w:val="24"/>
      <w:szCs w:val="32"/>
    </w:rPr>
  </w:style>
  <w:style w:type="paragraph" w:styleId="Heading2">
    <w:name w:val="heading 2"/>
    <w:basedOn w:val="Normal"/>
    <w:next w:val="Normal"/>
    <w:link w:val="Heading2Char"/>
    <w:autoRedefine/>
    <w:uiPriority w:val="9"/>
    <w:unhideWhenUsed/>
    <w:qFormat/>
    <w:rsid w:val="00965F72"/>
    <w:pPr>
      <w:keepNext/>
      <w:numPr>
        <w:ilvl w:val="1"/>
        <w:numId w:val="28"/>
      </w:numPr>
      <w:spacing w:before="120" w:after="60" w:line="360" w:lineRule="auto"/>
      <w:outlineLvl w:val="1"/>
    </w:pPr>
    <w:rPr>
      <w:b/>
      <w:bCs/>
      <w:iCs/>
      <w:sz w:val="24"/>
      <w:szCs w:val="28"/>
    </w:rPr>
  </w:style>
  <w:style w:type="paragraph" w:styleId="Heading3">
    <w:name w:val="heading 3"/>
    <w:basedOn w:val="Normal"/>
    <w:next w:val="Normal"/>
    <w:link w:val="Heading3Char"/>
    <w:autoRedefine/>
    <w:uiPriority w:val="9"/>
    <w:unhideWhenUsed/>
    <w:qFormat/>
    <w:rsid w:val="004D37E7"/>
    <w:pPr>
      <w:keepNext/>
      <w:spacing w:before="120" w:after="60"/>
      <w:outlineLvl w:val="2"/>
    </w:pPr>
    <w:rPr>
      <w:b/>
      <w:bCs/>
      <w:i/>
      <w:szCs w:val="26"/>
    </w:rPr>
  </w:style>
  <w:style w:type="paragraph" w:styleId="Heading4">
    <w:name w:val="heading 4"/>
    <w:basedOn w:val="Normal"/>
    <w:next w:val="Normal"/>
    <w:link w:val="Heading4Char"/>
    <w:autoRedefine/>
    <w:uiPriority w:val="9"/>
    <w:unhideWhenUsed/>
    <w:qFormat/>
    <w:rsid w:val="00FF5FA2"/>
    <w:pPr>
      <w:keepNext/>
      <w:spacing w:before="120" w:after="60" w:line="360" w:lineRule="auto"/>
      <w:outlineLvl w:val="3"/>
    </w:pPr>
    <w:rPr>
      <w:bCs/>
      <w:i/>
      <w:szCs w:val="28"/>
    </w:rPr>
  </w:style>
  <w:style w:type="paragraph" w:styleId="Heading5">
    <w:name w:val="heading 5"/>
    <w:basedOn w:val="Normal"/>
    <w:next w:val="Normal"/>
    <w:link w:val="Heading5Char"/>
    <w:uiPriority w:val="9"/>
    <w:semiHidden/>
    <w:unhideWhenUsed/>
    <w:qFormat/>
    <w:rsid w:val="00034C37"/>
    <w:pPr>
      <w:keepNext/>
      <w:keepLines/>
      <w:numPr>
        <w:ilvl w:val="4"/>
        <w:numId w:val="28"/>
      </w:numPr>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EE7E6B"/>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E7E6B"/>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7E6B"/>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E7E6B"/>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701"/>
    <w:rPr>
      <w:rFonts w:ascii="Times New Roman" w:hAnsi="Times New Roman"/>
      <w:b/>
      <w:bCs/>
      <w:kern w:val="32"/>
      <w:sz w:val="24"/>
      <w:szCs w:val="32"/>
      <w:lang w:eastAsia="en-US"/>
    </w:rPr>
  </w:style>
  <w:style w:type="character" w:customStyle="1" w:styleId="Heading2Char">
    <w:name w:val="Heading 2 Char"/>
    <w:basedOn w:val="DefaultParagraphFont"/>
    <w:link w:val="Heading2"/>
    <w:uiPriority w:val="9"/>
    <w:rsid w:val="00965F72"/>
    <w:rPr>
      <w:rFonts w:ascii="Times New Roman" w:hAnsi="Times New Roman"/>
      <w:b/>
      <w:bCs/>
      <w:iCs/>
      <w:sz w:val="24"/>
      <w:szCs w:val="28"/>
      <w:lang w:eastAsia="en-US"/>
    </w:rPr>
  </w:style>
  <w:style w:type="character" w:customStyle="1" w:styleId="Heading3Char">
    <w:name w:val="Heading 3 Char"/>
    <w:basedOn w:val="DefaultParagraphFont"/>
    <w:link w:val="Heading3"/>
    <w:uiPriority w:val="9"/>
    <w:rsid w:val="004D37E7"/>
    <w:rPr>
      <w:rFonts w:ascii="Times New Roman" w:hAnsi="Times New Roman"/>
      <w:b/>
      <w:bCs/>
      <w:i/>
      <w:sz w:val="22"/>
      <w:szCs w:val="26"/>
      <w:lang w:eastAsia="en-US"/>
    </w:rPr>
  </w:style>
  <w:style w:type="character" w:customStyle="1" w:styleId="Heading4Char">
    <w:name w:val="Heading 4 Char"/>
    <w:basedOn w:val="DefaultParagraphFont"/>
    <w:link w:val="Heading4"/>
    <w:uiPriority w:val="9"/>
    <w:rsid w:val="00FF5FA2"/>
    <w:rPr>
      <w:rFonts w:ascii="Times New Roman" w:hAnsi="Times New Roman"/>
      <w:bCs/>
      <w:i/>
      <w:sz w:val="22"/>
      <w:szCs w:val="28"/>
      <w:lang w:eastAsia="en-US"/>
    </w:rPr>
  </w:style>
  <w:style w:type="character" w:styleId="Hyperlink">
    <w:name w:val="Hyperlink"/>
    <w:basedOn w:val="DefaultParagraphFont"/>
    <w:uiPriority w:val="99"/>
    <w:unhideWhenUsed/>
    <w:rsid w:val="0091106A"/>
    <w:rPr>
      <w:color w:val="0000FF"/>
      <w:u w:val="single"/>
    </w:rPr>
  </w:style>
  <w:style w:type="paragraph" w:styleId="BalloonText">
    <w:name w:val="Balloon Text"/>
    <w:basedOn w:val="Normal"/>
    <w:link w:val="BalloonTextChar"/>
    <w:uiPriority w:val="99"/>
    <w:semiHidden/>
    <w:unhideWhenUsed/>
    <w:rsid w:val="002B6585"/>
    <w:rPr>
      <w:rFonts w:ascii="Tahoma" w:hAnsi="Tahoma" w:cs="Tahoma"/>
      <w:sz w:val="16"/>
      <w:szCs w:val="16"/>
    </w:rPr>
  </w:style>
  <w:style w:type="character" w:customStyle="1" w:styleId="BalloonTextChar">
    <w:name w:val="Balloon Text Char"/>
    <w:basedOn w:val="DefaultParagraphFont"/>
    <w:link w:val="BalloonText"/>
    <w:uiPriority w:val="99"/>
    <w:semiHidden/>
    <w:rsid w:val="002B6585"/>
    <w:rPr>
      <w:rFonts w:ascii="Tahoma" w:hAnsi="Tahoma" w:cs="Tahoma"/>
      <w:sz w:val="16"/>
      <w:szCs w:val="16"/>
    </w:rPr>
  </w:style>
  <w:style w:type="table" w:styleId="TableGrid">
    <w:name w:val="Table Grid"/>
    <w:basedOn w:val="TableNormal"/>
    <w:uiPriority w:val="59"/>
    <w:rsid w:val="002B65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454893"/>
    <w:pPr>
      <w:spacing w:before="100" w:beforeAutospacing="1" w:after="100" w:afterAutospacing="1"/>
      <w:jc w:val="left"/>
    </w:pPr>
    <w:rPr>
      <w:sz w:val="24"/>
      <w:lang w:eastAsia="en-GB"/>
    </w:rPr>
  </w:style>
  <w:style w:type="character" w:customStyle="1" w:styleId="highlight">
    <w:name w:val="highlight"/>
    <w:basedOn w:val="DefaultParagraphFont"/>
    <w:rsid w:val="00B80B7D"/>
    <w:rPr>
      <w:b/>
      <w:bCs/>
    </w:rPr>
  </w:style>
  <w:style w:type="paragraph" w:customStyle="1" w:styleId="ChapterTitle">
    <w:name w:val="Chapter Title"/>
    <w:basedOn w:val="Normal"/>
    <w:rsid w:val="00336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center"/>
    </w:pPr>
    <w:rPr>
      <w:b/>
      <w:color w:val="000000"/>
      <w:sz w:val="44"/>
      <w:szCs w:val="20"/>
      <w:lang w:val="en-US" w:eastAsia="en-GB"/>
    </w:rPr>
  </w:style>
  <w:style w:type="paragraph" w:styleId="ListParagraph">
    <w:name w:val="List Paragraph"/>
    <w:basedOn w:val="Normal"/>
    <w:uiPriority w:val="34"/>
    <w:qFormat/>
    <w:rsid w:val="00D42228"/>
    <w:pPr>
      <w:ind w:left="720"/>
      <w:contextualSpacing/>
    </w:pPr>
  </w:style>
  <w:style w:type="character" w:styleId="FollowedHyperlink">
    <w:name w:val="FollowedHyperlink"/>
    <w:basedOn w:val="DefaultParagraphFont"/>
    <w:uiPriority w:val="99"/>
    <w:semiHidden/>
    <w:unhideWhenUsed/>
    <w:rsid w:val="00B6616D"/>
    <w:rPr>
      <w:color w:val="800080"/>
      <w:u w:val="single"/>
    </w:rPr>
  </w:style>
  <w:style w:type="paragraph" w:styleId="NormalWeb">
    <w:name w:val="Normal (Web)"/>
    <w:basedOn w:val="Normal"/>
    <w:uiPriority w:val="99"/>
    <w:unhideWhenUsed/>
    <w:rsid w:val="00A8607C"/>
    <w:pPr>
      <w:spacing w:after="300"/>
      <w:jc w:val="left"/>
    </w:pPr>
    <w:rPr>
      <w:sz w:val="24"/>
      <w:lang w:eastAsia="en-GB"/>
    </w:rPr>
  </w:style>
  <w:style w:type="character" w:styleId="Strong">
    <w:name w:val="Strong"/>
    <w:basedOn w:val="DefaultParagraphFont"/>
    <w:uiPriority w:val="22"/>
    <w:qFormat/>
    <w:rsid w:val="00A8607C"/>
    <w:rPr>
      <w:b/>
      <w:bCs/>
    </w:rPr>
  </w:style>
  <w:style w:type="paragraph" w:customStyle="1" w:styleId="Default">
    <w:name w:val="Default"/>
    <w:rsid w:val="006D60E3"/>
    <w:pPr>
      <w:autoSpaceDE w:val="0"/>
      <w:autoSpaceDN w:val="0"/>
      <w:adjustRightInd w:val="0"/>
    </w:pPr>
    <w:rPr>
      <w:rFonts w:ascii="Arial" w:hAnsi="Arial" w:cs="Arial"/>
      <w:color w:val="000000"/>
      <w:sz w:val="24"/>
      <w:szCs w:val="24"/>
      <w:lang w:eastAsia="en-US"/>
    </w:rPr>
  </w:style>
  <w:style w:type="character" w:customStyle="1" w:styleId="Heading5Char">
    <w:name w:val="Heading 5 Char"/>
    <w:basedOn w:val="DefaultParagraphFont"/>
    <w:link w:val="Heading5"/>
    <w:uiPriority w:val="9"/>
    <w:semiHidden/>
    <w:rsid w:val="00034C37"/>
    <w:rPr>
      <w:rFonts w:ascii="Cambria" w:hAnsi="Cambria"/>
      <w:color w:val="243F60"/>
      <w:sz w:val="22"/>
      <w:szCs w:val="24"/>
      <w:lang w:eastAsia="en-US"/>
    </w:rPr>
  </w:style>
  <w:style w:type="paragraph" w:customStyle="1" w:styleId="txtbluenormaltext10">
    <w:name w:val="txtbluenormaltext10"/>
    <w:basedOn w:val="Normal"/>
    <w:rsid w:val="00034C37"/>
    <w:pPr>
      <w:spacing w:before="100" w:beforeAutospacing="1" w:after="100" w:afterAutospacing="1"/>
      <w:jc w:val="left"/>
    </w:pPr>
    <w:rPr>
      <w:rFonts w:ascii="Arial" w:hAnsi="Arial" w:cs="Arial"/>
      <w:color w:val="2A377E"/>
      <w:sz w:val="20"/>
      <w:szCs w:val="20"/>
      <w:lang w:eastAsia="en-GB"/>
    </w:rPr>
  </w:style>
  <w:style w:type="character" w:customStyle="1" w:styleId="submitted">
    <w:name w:val="submitted"/>
    <w:basedOn w:val="DefaultParagraphFont"/>
    <w:rsid w:val="00034C37"/>
    <w:rPr>
      <w:color w:val="898989"/>
      <w:sz w:val="22"/>
      <w:szCs w:val="22"/>
    </w:rPr>
  </w:style>
  <w:style w:type="paragraph" w:styleId="Caption">
    <w:name w:val="caption"/>
    <w:basedOn w:val="Normal"/>
    <w:next w:val="Normal"/>
    <w:uiPriority w:val="35"/>
    <w:unhideWhenUsed/>
    <w:qFormat/>
    <w:rsid w:val="00422447"/>
    <w:pPr>
      <w:spacing w:after="200"/>
    </w:pPr>
    <w:rPr>
      <w:b/>
      <w:bCs/>
      <w:sz w:val="18"/>
      <w:szCs w:val="18"/>
    </w:rPr>
  </w:style>
  <w:style w:type="paragraph" w:customStyle="1" w:styleId="txtblueheadleft18">
    <w:name w:val="txtblueheadleft18"/>
    <w:basedOn w:val="Normal"/>
    <w:rsid w:val="008B3753"/>
    <w:pPr>
      <w:spacing w:before="100" w:beforeAutospacing="1" w:after="100" w:afterAutospacing="1"/>
      <w:jc w:val="left"/>
    </w:pPr>
    <w:rPr>
      <w:rFonts w:ascii="Arial" w:hAnsi="Arial" w:cs="Arial"/>
      <w:b/>
      <w:bCs/>
      <w:color w:val="2A377E"/>
      <w:sz w:val="36"/>
      <w:szCs w:val="36"/>
      <w:lang w:eastAsia="en-GB"/>
    </w:rPr>
  </w:style>
  <w:style w:type="paragraph" w:styleId="HTMLPreformatted">
    <w:name w:val="HTML Preformatted"/>
    <w:basedOn w:val="Normal"/>
    <w:link w:val="HTMLPreformattedChar"/>
    <w:uiPriority w:val="99"/>
    <w:semiHidden/>
    <w:unhideWhenUsed/>
    <w:rsid w:val="00574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36"/>
      <w:szCs w:val="36"/>
      <w:lang w:eastAsia="en-GB"/>
    </w:rPr>
  </w:style>
  <w:style w:type="character" w:customStyle="1" w:styleId="HTMLPreformattedChar">
    <w:name w:val="HTML Preformatted Char"/>
    <w:basedOn w:val="DefaultParagraphFont"/>
    <w:link w:val="HTMLPreformatted"/>
    <w:uiPriority w:val="99"/>
    <w:semiHidden/>
    <w:rsid w:val="005740DA"/>
    <w:rPr>
      <w:rFonts w:ascii="Courier New" w:hAnsi="Courier New" w:cs="Courier New"/>
      <w:sz w:val="36"/>
      <w:szCs w:val="36"/>
    </w:rPr>
  </w:style>
  <w:style w:type="paragraph" w:customStyle="1" w:styleId="minicontact">
    <w:name w:val="minicontact"/>
    <w:basedOn w:val="Normal"/>
    <w:rsid w:val="002C28F6"/>
    <w:pPr>
      <w:spacing w:before="100" w:beforeAutospacing="1" w:after="240"/>
      <w:jc w:val="left"/>
    </w:pPr>
    <w:rPr>
      <w:sz w:val="24"/>
      <w:lang w:eastAsia="en-GB"/>
    </w:rPr>
  </w:style>
  <w:style w:type="character" w:customStyle="1" w:styleId="address1">
    <w:name w:val="address1"/>
    <w:basedOn w:val="DefaultParagraphFont"/>
    <w:rsid w:val="002C28F6"/>
  </w:style>
  <w:style w:type="character" w:customStyle="1" w:styleId="mini-address">
    <w:name w:val="mini-address"/>
    <w:basedOn w:val="DefaultParagraphFont"/>
    <w:rsid w:val="002C28F6"/>
  </w:style>
  <w:style w:type="character" w:customStyle="1" w:styleId="address2">
    <w:name w:val="address2"/>
    <w:basedOn w:val="DefaultParagraphFont"/>
    <w:rsid w:val="000A34C8"/>
  </w:style>
  <w:style w:type="character" w:customStyle="1" w:styleId="bodytextbrownbold1">
    <w:name w:val="bodytextbrownbold1"/>
    <w:basedOn w:val="DefaultParagraphFont"/>
    <w:rsid w:val="00B90CF5"/>
    <w:rPr>
      <w:rFonts w:ascii="Segoe UI" w:hAnsi="Segoe UI" w:cs="Segoe UI" w:hint="default"/>
      <w:b/>
      <w:bCs/>
      <w:i w:val="0"/>
      <w:iCs w:val="0"/>
      <w:color w:val="CC6633"/>
      <w:spacing w:val="0"/>
      <w:sz w:val="18"/>
      <w:szCs w:val="18"/>
    </w:rPr>
  </w:style>
  <w:style w:type="character" w:customStyle="1" w:styleId="bodytextgrey1">
    <w:name w:val="bodytextgrey1"/>
    <w:basedOn w:val="DefaultParagraphFont"/>
    <w:rsid w:val="00B90CF5"/>
    <w:rPr>
      <w:rFonts w:ascii="Segoe UI" w:hAnsi="Segoe UI" w:cs="Segoe UI" w:hint="default"/>
      <w:b w:val="0"/>
      <w:bCs w:val="0"/>
      <w:i w:val="0"/>
      <w:iCs w:val="0"/>
      <w:color w:val="666666"/>
      <w:spacing w:val="0"/>
      <w:sz w:val="18"/>
      <w:szCs w:val="18"/>
    </w:rPr>
  </w:style>
  <w:style w:type="paragraph" w:styleId="PlainText">
    <w:name w:val="Plain Text"/>
    <w:basedOn w:val="Normal"/>
    <w:link w:val="PlainTextChar"/>
    <w:uiPriority w:val="99"/>
    <w:unhideWhenUsed/>
    <w:rsid w:val="00D05200"/>
    <w:pPr>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D05200"/>
    <w:rPr>
      <w:rFonts w:ascii="Consolas" w:eastAsia="Calibri" w:hAnsi="Consolas" w:cs="Times New Roman"/>
      <w:sz w:val="21"/>
      <w:szCs w:val="21"/>
      <w:lang w:eastAsia="en-US"/>
    </w:rPr>
  </w:style>
  <w:style w:type="character" w:customStyle="1" w:styleId="databold">
    <w:name w:val="data_bold"/>
    <w:basedOn w:val="DefaultParagraphFont"/>
    <w:rsid w:val="00A71E7E"/>
  </w:style>
  <w:style w:type="paragraph" w:styleId="BodyText">
    <w:name w:val="Body Text"/>
    <w:basedOn w:val="Default"/>
    <w:next w:val="Default"/>
    <w:link w:val="BodyTextChar"/>
    <w:uiPriority w:val="99"/>
    <w:rsid w:val="00DF5F7A"/>
    <w:rPr>
      <w:color w:val="auto"/>
      <w:lang w:eastAsia="en-GB"/>
    </w:rPr>
  </w:style>
  <w:style w:type="character" w:customStyle="1" w:styleId="BodyTextChar">
    <w:name w:val="Body Text Char"/>
    <w:basedOn w:val="DefaultParagraphFont"/>
    <w:link w:val="BodyText"/>
    <w:uiPriority w:val="99"/>
    <w:rsid w:val="00DF5F7A"/>
    <w:rPr>
      <w:rFonts w:ascii="Arial" w:hAnsi="Arial" w:cs="Arial"/>
      <w:sz w:val="24"/>
      <w:szCs w:val="24"/>
    </w:rPr>
  </w:style>
  <w:style w:type="paragraph" w:customStyle="1" w:styleId="NormalText">
    <w:name w:val="Normal Text"/>
    <w:basedOn w:val="Default"/>
    <w:next w:val="Default"/>
    <w:uiPriority w:val="99"/>
    <w:rsid w:val="00480191"/>
    <w:rPr>
      <w:color w:val="auto"/>
      <w:lang w:eastAsia="en-GB"/>
    </w:rPr>
  </w:style>
  <w:style w:type="paragraph" w:styleId="Title">
    <w:name w:val="Title"/>
    <w:basedOn w:val="Normal"/>
    <w:next w:val="Normal"/>
    <w:link w:val="TitleChar"/>
    <w:uiPriority w:val="10"/>
    <w:qFormat/>
    <w:rsid w:val="00EE7E6B"/>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EE7E6B"/>
    <w:rPr>
      <w:rFonts w:ascii="Times New Roman" w:eastAsiaTheme="majorEastAsia" w:hAnsi="Times New Roman" w:cstheme="majorBidi"/>
      <w:b/>
      <w:kern w:val="28"/>
      <w:sz w:val="24"/>
      <w:szCs w:val="52"/>
      <w:lang w:eastAsia="en-US"/>
    </w:rPr>
  </w:style>
  <w:style w:type="character" w:customStyle="1" w:styleId="Heading6Char">
    <w:name w:val="Heading 6 Char"/>
    <w:basedOn w:val="DefaultParagraphFont"/>
    <w:link w:val="Heading6"/>
    <w:uiPriority w:val="9"/>
    <w:semiHidden/>
    <w:rsid w:val="00EE7E6B"/>
    <w:rPr>
      <w:rFonts w:asciiTheme="majorHAnsi" w:eastAsiaTheme="majorEastAsia" w:hAnsiTheme="majorHAnsi" w:cstheme="majorBidi"/>
      <w:i/>
      <w:iCs/>
      <w:color w:val="243F60" w:themeColor="accent1" w:themeShade="7F"/>
      <w:sz w:val="22"/>
      <w:szCs w:val="24"/>
      <w:lang w:eastAsia="en-US"/>
    </w:rPr>
  </w:style>
  <w:style w:type="character" w:customStyle="1" w:styleId="Heading7Char">
    <w:name w:val="Heading 7 Char"/>
    <w:basedOn w:val="DefaultParagraphFont"/>
    <w:link w:val="Heading7"/>
    <w:uiPriority w:val="9"/>
    <w:semiHidden/>
    <w:rsid w:val="00EE7E6B"/>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uiPriority w:val="9"/>
    <w:semiHidden/>
    <w:rsid w:val="00EE7E6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EE7E6B"/>
    <w:rPr>
      <w:rFonts w:asciiTheme="majorHAnsi" w:eastAsiaTheme="majorEastAsia" w:hAnsiTheme="majorHAnsi" w:cstheme="majorBidi"/>
      <w:i/>
      <w:iCs/>
      <w:color w:val="404040" w:themeColor="text1" w:themeTint="BF"/>
      <w:lang w:eastAsia="en-US"/>
    </w:rPr>
  </w:style>
  <w:style w:type="paragraph" w:styleId="ListBullet">
    <w:name w:val="List Bullet"/>
    <w:basedOn w:val="List"/>
    <w:semiHidden/>
    <w:rsid w:val="00C362BD"/>
    <w:pPr>
      <w:overflowPunct w:val="0"/>
      <w:autoSpaceDE w:val="0"/>
      <w:autoSpaceDN w:val="0"/>
      <w:adjustRightInd w:val="0"/>
      <w:spacing w:after="240"/>
      <w:ind w:left="720" w:right="360" w:hanging="360"/>
      <w:contextualSpacing w:val="0"/>
      <w:textAlignment w:val="baseline"/>
    </w:pPr>
    <w:rPr>
      <w:rFonts w:ascii="Garamond" w:hAnsi="Garamond"/>
      <w:spacing w:val="-5"/>
      <w:sz w:val="24"/>
      <w:szCs w:val="20"/>
      <w:lang w:eastAsia="en-GB"/>
    </w:rPr>
  </w:style>
  <w:style w:type="paragraph" w:styleId="List">
    <w:name w:val="List"/>
    <w:basedOn w:val="Normal"/>
    <w:uiPriority w:val="99"/>
    <w:semiHidden/>
    <w:unhideWhenUsed/>
    <w:rsid w:val="00C362BD"/>
    <w:pPr>
      <w:ind w:left="283" w:hanging="283"/>
      <w:contextualSpacing/>
    </w:pPr>
  </w:style>
  <w:style w:type="character" w:customStyle="1" w:styleId="body1">
    <w:name w:val="body1"/>
    <w:basedOn w:val="DefaultParagraphFont"/>
    <w:rsid w:val="00D80B08"/>
    <w:rPr>
      <w:rFonts w:ascii="Verdana" w:hAnsi="Verdana" w:hint="default"/>
      <w:color w:val="333333"/>
      <w:sz w:val="17"/>
      <w:szCs w:val="17"/>
    </w:rPr>
  </w:style>
  <w:style w:type="paragraph" w:customStyle="1" w:styleId="CM32">
    <w:name w:val="CM32"/>
    <w:basedOn w:val="Default"/>
    <w:next w:val="Default"/>
    <w:uiPriority w:val="99"/>
    <w:rsid w:val="005F300E"/>
    <w:rPr>
      <w:rFonts w:ascii="Univers 55" w:hAnsi="Univers 55" w:cs="Times New Roman"/>
      <w:color w:val="auto"/>
      <w:lang w:eastAsia="en-GB"/>
    </w:rPr>
  </w:style>
  <w:style w:type="paragraph" w:customStyle="1" w:styleId="CM1">
    <w:name w:val="CM1"/>
    <w:basedOn w:val="Default"/>
    <w:next w:val="Default"/>
    <w:uiPriority w:val="99"/>
    <w:rsid w:val="00EF74B7"/>
    <w:rPr>
      <w:rFonts w:ascii="EUAlbertina" w:hAnsi="EUAlbertina" w:cs="Times New Roman"/>
      <w:color w:val="auto"/>
      <w:lang w:eastAsia="en-GB"/>
    </w:rPr>
  </w:style>
  <w:style w:type="paragraph" w:customStyle="1" w:styleId="CM3">
    <w:name w:val="CM3"/>
    <w:basedOn w:val="Default"/>
    <w:next w:val="Default"/>
    <w:uiPriority w:val="99"/>
    <w:rsid w:val="00EF74B7"/>
    <w:rPr>
      <w:rFonts w:ascii="EUAlbertina" w:hAnsi="EUAlbertina" w:cs="Times New Roman"/>
      <w:color w:val="auto"/>
      <w:lang w:eastAsia="en-GB"/>
    </w:rPr>
  </w:style>
  <w:style w:type="paragraph" w:customStyle="1" w:styleId="CM4">
    <w:name w:val="CM4"/>
    <w:basedOn w:val="Default"/>
    <w:next w:val="Default"/>
    <w:uiPriority w:val="99"/>
    <w:rsid w:val="00EF74B7"/>
    <w:rPr>
      <w:rFonts w:ascii="EUAlbertina" w:hAnsi="EUAlbertina" w:cs="Times New Roman"/>
      <w:color w:val="auto"/>
      <w:lang w:eastAsia="en-GB"/>
    </w:rPr>
  </w:style>
  <w:style w:type="character" w:styleId="Emphasis">
    <w:name w:val="Emphasis"/>
    <w:basedOn w:val="DefaultParagraphFont"/>
    <w:qFormat/>
    <w:rsid w:val="003F729A"/>
    <w:rPr>
      <w:i/>
      <w:iCs/>
    </w:rPr>
  </w:style>
  <w:style w:type="character" w:styleId="CommentReference">
    <w:name w:val="annotation reference"/>
    <w:basedOn w:val="DefaultParagraphFont"/>
    <w:uiPriority w:val="99"/>
    <w:semiHidden/>
    <w:unhideWhenUsed/>
    <w:rsid w:val="005200FF"/>
    <w:rPr>
      <w:sz w:val="16"/>
      <w:szCs w:val="16"/>
    </w:rPr>
  </w:style>
  <w:style w:type="paragraph" w:styleId="CommentText">
    <w:name w:val="annotation text"/>
    <w:basedOn w:val="Normal"/>
    <w:link w:val="CommentTextChar"/>
    <w:uiPriority w:val="99"/>
    <w:unhideWhenUsed/>
    <w:rsid w:val="005200FF"/>
    <w:rPr>
      <w:sz w:val="20"/>
      <w:szCs w:val="20"/>
    </w:rPr>
  </w:style>
  <w:style w:type="character" w:customStyle="1" w:styleId="CommentTextChar">
    <w:name w:val="Comment Text Char"/>
    <w:basedOn w:val="DefaultParagraphFont"/>
    <w:link w:val="CommentText"/>
    <w:uiPriority w:val="99"/>
    <w:rsid w:val="005200FF"/>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200FF"/>
    <w:rPr>
      <w:b/>
      <w:bCs/>
    </w:rPr>
  </w:style>
  <w:style w:type="character" w:customStyle="1" w:styleId="CommentSubjectChar">
    <w:name w:val="Comment Subject Char"/>
    <w:basedOn w:val="CommentTextChar"/>
    <w:link w:val="CommentSubject"/>
    <w:uiPriority w:val="99"/>
    <w:semiHidden/>
    <w:rsid w:val="005200FF"/>
    <w:rPr>
      <w:rFonts w:ascii="Times New Roman" w:hAnsi="Times New Roman"/>
      <w:b/>
      <w:bCs/>
      <w:lang w:eastAsia="en-US"/>
    </w:rPr>
  </w:style>
  <w:style w:type="paragraph" w:styleId="Header">
    <w:name w:val="header"/>
    <w:basedOn w:val="Normal"/>
    <w:link w:val="HeaderChar"/>
    <w:uiPriority w:val="99"/>
    <w:unhideWhenUsed/>
    <w:rsid w:val="000D2433"/>
    <w:pPr>
      <w:tabs>
        <w:tab w:val="center" w:pos="4513"/>
        <w:tab w:val="right" w:pos="9026"/>
      </w:tabs>
    </w:pPr>
  </w:style>
  <w:style w:type="character" w:customStyle="1" w:styleId="HeaderChar">
    <w:name w:val="Header Char"/>
    <w:basedOn w:val="DefaultParagraphFont"/>
    <w:link w:val="Header"/>
    <w:uiPriority w:val="99"/>
    <w:rsid w:val="000D2433"/>
    <w:rPr>
      <w:rFonts w:ascii="Times New Roman" w:hAnsi="Times New Roman"/>
      <w:sz w:val="22"/>
      <w:szCs w:val="24"/>
      <w:lang w:eastAsia="en-US"/>
    </w:rPr>
  </w:style>
  <w:style w:type="paragraph" w:styleId="Footer">
    <w:name w:val="footer"/>
    <w:basedOn w:val="Normal"/>
    <w:link w:val="FooterChar"/>
    <w:uiPriority w:val="99"/>
    <w:unhideWhenUsed/>
    <w:rsid w:val="000D2433"/>
    <w:pPr>
      <w:tabs>
        <w:tab w:val="center" w:pos="4513"/>
        <w:tab w:val="right" w:pos="9026"/>
      </w:tabs>
    </w:pPr>
  </w:style>
  <w:style w:type="character" w:customStyle="1" w:styleId="FooterChar">
    <w:name w:val="Footer Char"/>
    <w:basedOn w:val="DefaultParagraphFont"/>
    <w:link w:val="Footer"/>
    <w:uiPriority w:val="99"/>
    <w:rsid w:val="000D2433"/>
    <w:rPr>
      <w:rFonts w:ascii="Times New Roman" w:hAnsi="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407">
      <w:bodyDiv w:val="1"/>
      <w:marLeft w:val="0"/>
      <w:marRight w:val="0"/>
      <w:marTop w:val="0"/>
      <w:marBottom w:val="0"/>
      <w:divBdr>
        <w:top w:val="none" w:sz="0" w:space="0" w:color="auto"/>
        <w:left w:val="none" w:sz="0" w:space="0" w:color="auto"/>
        <w:bottom w:val="none" w:sz="0" w:space="0" w:color="auto"/>
        <w:right w:val="none" w:sz="0" w:space="0" w:color="auto"/>
      </w:divBdr>
    </w:div>
    <w:div w:id="61828634">
      <w:bodyDiv w:val="1"/>
      <w:marLeft w:val="0"/>
      <w:marRight w:val="0"/>
      <w:marTop w:val="0"/>
      <w:marBottom w:val="0"/>
      <w:divBdr>
        <w:top w:val="none" w:sz="0" w:space="0" w:color="auto"/>
        <w:left w:val="none" w:sz="0" w:space="0" w:color="auto"/>
        <w:bottom w:val="none" w:sz="0" w:space="0" w:color="auto"/>
        <w:right w:val="none" w:sz="0" w:space="0" w:color="auto"/>
      </w:divBdr>
    </w:div>
    <w:div w:id="117647918">
      <w:bodyDiv w:val="1"/>
      <w:marLeft w:val="0"/>
      <w:marRight w:val="0"/>
      <w:marTop w:val="0"/>
      <w:marBottom w:val="0"/>
      <w:divBdr>
        <w:top w:val="none" w:sz="0" w:space="0" w:color="auto"/>
        <w:left w:val="none" w:sz="0" w:space="0" w:color="auto"/>
        <w:bottom w:val="none" w:sz="0" w:space="0" w:color="auto"/>
        <w:right w:val="none" w:sz="0" w:space="0" w:color="auto"/>
      </w:divBdr>
      <w:divsChild>
        <w:div w:id="246504498">
          <w:marLeft w:val="0"/>
          <w:marRight w:val="0"/>
          <w:marTop w:val="0"/>
          <w:marBottom w:val="0"/>
          <w:divBdr>
            <w:top w:val="none" w:sz="0" w:space="0" w:color="auto"/>
            <w:left w:val="none" w:sz="0" w:space="0" w:color="auto"/>
            <w:bottom w:val="none" w:sz="0" w:space="0" w:color="auto"/>
            <w:right w:val="none" w:sz="0" w:space="0" w:color="auto"/>
          </w:divBdr>
        </w:div>
      </w:divsChild>
    </w:div>
    <w:div w:id="150104546">
      <w:bodyDiv w:val="1"/>
      <w:marLeft w:val="0"/>
      <w:marRight w:val="0"/>
      <w:marTop w:val="525"/>
      <w:marBottom w:val="525"/>
      <w:divBdr>
        <w:top w:val="none" w:sz="0" w:space="0" w:color="auto"/>
        <w:left w:val="none" w:sz="0" w:space="0" w:color="auto"/>
        <w:bottom w:val="none" w:sz="0" w:space="0" w:color="auto"/>
        <w:right w:val="none" w:sz="0" w:space="0" w:color="auto"/>
      </w:divBdr>
      <w:divsChild>
        <w:div w:id="1107121131">
          <w:marLeft w:val="0"/>
          <w:marRight w:val="0"/>
          <w:marTop w:val="0"/>
          <w:marBottom w:val="0"/>
          <w:divBdr>
            <w:top w:val="none" w:sz="0" w:space="0" w:color="auto"/>
            <w:left w:val="none" w:sz="0" w:space="0" w:color="auto"/>
            <w:bottom w:val="none" w:sz="0" w:space="0" w:color="auto"/>
            <w:right w:val="none" w:sz="0" w:space="0" w:color="auto"/>
          </w:divBdr>
        </w:div>
      </w:divsChild>
    </w:div>
    <w:div w:id="186723777">
      <w:bodyDiv w:val="1"/>
      <w:marLeft w:val="0"/>
      <w:marRight w:val="0"/>
      <w:marTop w:val="0"/>
      <w:marBottom w:val="0"/>
      <w:divBdr>
        <w:top w:val="none" w:sz="0" w:space="0" w:color="auto"/>
        <w:left w:val="none" w:sz="0" w:space="0" w:color="auto"/>
        <w:bottom w:val="none" w:sz="0" w:space="0" w:color="auto"/>
        <w:right w:val="none" w:sz="0" w:space="0" w:color="auto"/>
      </w:divBdr>
    </w:div>
    <w:div w:id="207571136">
      <w:bodyDiv w:val="1"/>
      <w:marLeft w:val="0"/>
      <w:marRight w:val="0"/>
      <w:marTop w:val="0"/>
      <w:marBottom w:val="0"/>
      <w:divBdr>
        <w:top w:val="none" w:sz="0" w:space="0" w:color="auto"/>
        <w:left w:val="none" w:sz="0" w:space="0" w:color="auto"/>
        <w:bottom w:val="none" w:sz="0" w:space="0" w:color="auto"/>
        <w:right w:val="none" w:sz="0" w:space="0" w:color="auto"/>
      </w:divBdr>
      <w:divsChild>
        <w:div w:id="1726829861">
          <w:marLeft w:val="0"/>
          <w:marRight w:val="0"/>
          <w:marTop w:val="0"/>
          <w:marBottom w:val="0"/>
          <w:divBdr>
            <w:top w:val="none" w:sz="0" w:space="0" w:color="auto"/>
            <w:left w:val="none" w:sz="0" w:space="0" w:color="auto"/>
            <w:bottom w:val="none" w:sz="0" w:space="0" w:color="auto"/>
            <w:right w:val="none" w:sz="0" w:space="0" w:color="auto"/>
          </w:divBdr>
          <w:divsChild>
            <w:div w:id="2084982195">
              <w:marLeft w:val="0"/>
              <w:marRight w:val="0"/>
              <w:marTop w:val="0"/>
              <w:marBottom w:val="0"/>
              <w:divBdr>
                <w:top w:val="none" w:sz="0" w:space="0" w:color="auto"/>
                <w:left w:val="none" w:sz="0" w:space="0" w:color="auto"/>
                <w:bottom w:val="none" w:sz="0" w:space="0" w:color="auto"/>
                <w:right w:val="none" w:sz="0" w:space="0" w:color="auto"/>
              </w:divBdr>
              <w:divsChild>
                <w:div w:id="18136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28634">
      <w:bodyDiv w:val="1"/>
      <w:marLeft w:val="0"/>
      <w:marRight w:val="0"/>
      <w:marTop w:val="0"/>
      <w:marBottom w:val="0"/>
      <w:divBdr>
        <w:top w:val="none" w:sz="0" w:space="0" w:color="auto"/>
        <w:left w:val="none" w:sz="0" w:space="0" w:color="auto"/>
        <w:bottom w:val="none" w:sz="0" w:space="0" w:color="auto"/>
        <w:right w:val="none" w:sz="0" w:space="0" w:color="auto"/>
      </w:divBdr>
      <w:divsChild>
        <w:div w:id="26909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2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2460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625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0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758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330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6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459649">
      <w:bodyDiv w:val="1"/>
      <w:marLeft w:val="0"/>
      <w:marRight w:val="0"/>
      <w:marTop w:val="0"/>
      <w:marBottom w:val="0"/>
      <w:divBdr>
        <w:top w:val="none" w:sz="0" w:space="0" w:color="auto"/>
        <w:left w:val="none" w:sz="0" w:space="0" w:color="auto"/>
        <w:bottom w:val="none" w:sz="0" w:space="0" w:color="auto"/>
        <w:right w:val="none" w:sz="0" w:space="0" w:color="auto"/>
      </w:divBdr>
      <w:divsChild>
        <w:div w:id="725488959">
          <w:marLeft w:val="0"/>
          <w:marRight w:val="0"/>
          <w:marTop w:val="0"/>
          <w:marBottom w:val="0"/>
          <w:divBdr>
            <w:top w:val="none" w:sz="0" w:space="0" w:color="auto"/>
            <w:left w:val="none" w:sz="0" w:space="0" w:color="auto"/>
            <w:bottom w:val="none" w:sz="0" w:space="0" w:color="auto"/>
            <w:right w:val="none" w:sz="0" w:space="0" w:color="auto"/>
          </w:divBdr>
          <w:divsChild>
            <w:div w:id="948855679">
              <w:marLeft w:val="0"/>
              <w:marRight w:val="0"/>
              <w:marTop w:val="0"/>
              <w:marBottom w:val="0"/>
              <w:divBdr>
                <w:top w:val="none" w:sz="0" w:space="0" w:color="auto"/>
                <w:left w:val="none" w:sz="0" w:space="0" w:color="auto"/>
                <w:bottom w:val="none" w:sz="0" w:space="0" w:color="auto"/>
                <w:right w:val="none" w:sz="0" w:space="0" w:color="auto"/>
              </w:divBdr>
              <w:divsChild>
                <w:div w:id="1047338828">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 w:id="364911688">
      <w:bodyDiv w:val="1"/>
      <w:marLeft w:val="0"/>
      <w:marRight w:val="0"/>
      <w:marTop w:val="0"/>
      <w:marBottom w:val="0"/>
      <w:divBdr>
        <w:top w:val="none" w:sz="0" w:space="0" w:color="auto"/>
        <w:left w:val="none" w:sz="0" w:space="0" w:color="auto"/>
        <w:bottom w:val="none" w:sz="0" w:space="0" w:color="auto"/>
        <w:right w:val="none" w:sz="0" w:space="0" w:color="auto"/>
      </w:divBdr>
      <w:divsChild>
        <w:div w:id="448670500">
          <w:marLeft w:val="75"/>
          <w:marRight w:val="0"/>
          <w:marTop w:val="0"/>
          <w:marBottom w:val="0"/>
          <w:divBdr>
            <w:top w:val="none" w:sz="0" w:space="0" w:color="auto"/>
            <w:left w:val="none" w:sz="0" w:space="0" w:color="auto"/>
            <w:bottom w:val="none" w:sz="0" w:space="0" w:color="auto"/>
            <w:right w:val="none" w:sz="0" w:space="0" w:color="auto"/>
          </w:divBdr>
          <w:divsChild>
            <w:div w:id="2039743692">
              <w:marLeft w:val="0"/>
              <w:marRight w:val="0"/>
              <w:marTop w:val="0"/>
              <w:marBottom w:val="0"/>
              <w:divBdr>
                <w:top w:val="none" w:sz="0" w:space="0" w:color="auto"/>
                <w:left w:val="none" w:sz="0" w:space="0" w:color="auto"/>
                <w:bottom w:val="none" w:sz="0" w:space="0" w:color="auto"/>
                <w:right w:val="none" w:sz="0" w:space="0" w:color="auto"/>
              </w:divBdr>
              <w:divsChild>
                <w:div w:id="656348908">
                  <w:marLeft w:val="0"/>
                  <w:marRight w:val="0"/>
                  <w:marTop w:val="0"/>
                  <w:marBottom w:val="0"/>
                  <w:divBdr>
                    <w:top w:val="none" w:sz="0" w:space="0" w:color="auto"/>
                    <w:left w:val="none" w:sz="0" w:space="0" w:color="auto"/>
                    <w:bottom w:val="none" w:sz="0" w:space="0" w:color="auto"/>
                    <w:right w:val="none" w:sz="0" w:space="0" w:color="auto"/>
                  </w:divBdr>
                  <w:divsChild>
                    <w:div w:id="1969705070">
                      <w:marLeft w:val="0"/>
                      <w:marRight w:val="0"/>
                      <w:marTop w:val="0"/>
                      <w:marBottom w:val="0"/>
                      <w:divBdr>
                        <w:top w:val="none" w:sz="0" w:space="0" w:color="auto"/>
                        <w:left w:val="none" w:sz="0" w:space="0" w:color="auto"/>
                        <w:bottom w:val="none" w:sz="0" w:space="0" w:color="auto"/>
                        <w:right w:val="none" w:sz="0" w:space="0" w:color="auto"/>
                      </w:divBdr>
                      <w:divsChild>
                        <w:div w:id="1771008234">
                          <w:marLeft w:val="0"/>
                          <w:marRight w:val="0"/>
                          <w:marTop w:val="0"/>
                          <w:marBottom w:val="0"/>
                          <w:divBdr>
                            <w:top w:val="none" w:sz="0" w:space="0" w:color="auto"/>
                            <w:left w:val="none" w:sz="0" w:space="0" w:color="auto"/>
                            <w:bottom w:val="none" w:sz="0" w:space="0" w:color="auto"/>
                            <w:right w:val="none" w:sz="0" w:space="0" w:color="auto"/>
                          </w:divBdr>
                          <w:divsChild>
                            <w:div w:id="82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8353">
      <w:bodyDiv w:val="1"/>
      <w:marLeft w:val="0"/>
      <w:marRight w:val="0"/>
      <w:marTop w:val="0"/>
      <w:marBottom w:val="0"/>
      <w:divBdr>
        <w:top w:val="none" w:sz="0" w:space="0" w:color="auto"/>
        <w:left w:val="none" w:sz="0" w:space="0" w:color="auto"/>
        <w:bottom w:val="none" w:sz="0" w:space="0" w:color="auto"/>
        <w:right w:val="none" w:sz="0" w:space="0" w:color="auto"/>
      </w:divBdr>
    </w:div>
    <w:div w:id="456802685">
      <w:bodyDiv w:val="1"/>
      <w:marLeft w:val="0"/>
      <w:marRight w:val="0"/>
      <w:marTop w:val="0"/>
      <w:marBottom w:val="0"/>
      <w:divBdr>
        <w:top w:val="none" w:sz="0" w:space="0" w:color="auto"/>
        <w:left w:val="none" w:sz="0" w:space="0" w:color="auto"/>
        <w:bottom w:val="none" w:sz="0" w:space="0" w:color="auto"/>
        <w:right w:val="none" w:sz="0" w:space="0" w:color="auto"/>
      </w:divBdr>
      <w:divsChild>
        <w:div w:id="1811819707">
          <w:marLeft w:val="0"/>
          <w:marRight w:val="0"/>
          <w:marTop w:val="0"/>
          <w:marBottom w:val="0"/>
          <w:divBdr>
            <w:top w:val="none" w:sz="0" w:space="0" w:color="auto"/>
            <w:left w:val="none" w:sz="0" w:space="0" w:color="auto"/>
            <w:bottom w:val="none" w:sz="0" w:space="0" w:color="auto"/>
            <w:right w:val="none" w:sz="0" w:space="0" w:color="auto"/>
          </w:divBdr>
        </w:div>
      </w:divsChild>
    </w:div>
    <w:div w:id="457379191">
      <w:bodyDiv w:val="1"/>
      <w:marLeft w:val="0"/>
      <w:marRight w:val="0"/>
      <w:marTop w:val="0"/>
      <w:marBottom w:val="0"/>
      <w:divBdr>
        <w:top w:val="none" w:sz="0" w:space="0" w:color="auto"/>
        <w:left w:val="none" w:sz="0" w:space="0" w:color="auto"/>
        <w:bottom w:val="none" w:sz="0" w:space="0" w:color="auto"/>
        <w:right w:val="none" w:sz="0" w:space="0" w:color="auto"/>
      </w:divBdr>
      <w:divsChild>
        <w:div w:id="1934627842">
          <w:marLeft w:val="0"/>
          <w:marRight w:val="0"/>
          <w:marTop w:val="0"/>
          <w:marBottom w:val="0"/>
          <w:divBdr>
            <w:top w:val="none" w:sz="0" w:space="0" w:color="auto"/>
            <w:left w:val="none" w:sz="0" w:space="0" w:color="auto"/>
            <w:bottom w:val="none" w:sz="0" w:space="0" w:color="auto"/>
            <w:right w:val="none" w:sz="0" w:space="0" w:color="auto"/>
          </w:divBdr>
          <w:divsChild>
            <w:div w:id="268895882">
              <w:marLeft w:val="0"/>
              <w:marRight w:val="0"/>
              <w:marTop w:val="0"/>
              <w:marBottom w:val="0"/>
              <w:divBdr>
                <w:top w:val="none" w:sz="0" w:space="0" w:color="auto"/>
                <w:left w:val="none" w:sz="0" w:space="0" w:color="auto"/>
                <w:bottom w:val="none" w:sz="0" w:space="0" w:color="auto"/>
                <w:right w:val="none" w:sz="0" w:space="0" w:color="auto"/>
              </w:divBdr>
              <w:divsChild>
                <w:div w:id="1404640976">
                  <w:marLeft w:val="0"/>
                  <w:marRight w:val="300"/>
                  <w:marTop w:val="0"/>
                  <w:marBottom w:val="0"/>
                  <w:divBdr>
                    <w:top w:val="none" w:sz="0" w:space="0" w:color="auto"/>
                    <w:left w:val="none" w:sz="0" w:space="0" w:color="auto"/>
                    <w:bottom w:val="none" w:sz="0" w:space="0" w:color="auto"/>
                    <w:right w:val="none" w:sz="0" w:space="0" w:color="auto"/>
                  </w:divBdr>
                  <w:divsChild>
                    <w:div w:id="172767051">
                      <w:marLeft w:val="0"/>
                      <w:marRight w:val="0"/>
                      <w:marTop w:val="0"/>
                      <w:marBottom w:val="225"/>
                      <w:divBdr>
                        <w:top w:val="single" w:sz="6" w:space="8" w:color="FFFFFF"/>
                        <w:left w:val="single" w:sz="6" w:space="0" w:color="FFFFFF"/>
                        <w:bottom w:val="single" w:sz="6" w:space="0" w:color="CCCCCC"/>
                        <w:right w:val="single" w:sz="6" w:space="0" w:color="FFFFFF"/>
                      </w:divBdr>
                      <w:divsChild>
                        <w:div w:id="179899932">
                          <w:marLeft w:val="150"/>
                          <w:marRight w:val="150"/>
                          <w:marTop w:val="0"/>
                          <w:marBottom w:val="0"/>
                          <w:divBdr>
                            <w:top w:val="none" w:sz="0" w:space="0" w:color="auto"/>
                            <w:left w:val="none" w:sz="0" w:space="0" w:color="auto"/>
                            <w:bottom w:val="none" w:sz="0" w:space="0" w:color="auto"/>
                            <w:right w:val="none" w:sz="0" w:space="0" w:color="auto"/>
                          </w:divBdr>
                        </w:div>
                        <w:div w:id="1463114638">
                          <w:marLeft w:val="0"/>
                          <w:marRight w:val="0"/>
                          <w:marTop w:val="3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471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245735">
          <w:marLeft w:val="75"/>
          <w:marRight w:val="0"/>
          <w:marTop w:val="0"/>
          <w:marBottom w:val="0"/>
          <w:divBdr>
            <w:top w:val="none" w:sz="0" w:space="0" w:color="auto"/>
            <w:left w:val="none" w:sz="0" w:space="0" w:color="auto"/>
            <w:bottom w:val="none" w:sz="0" w:space="0" w:color="auto"/>
            <w:right w:val="none" w:sz="0" w:space="0" w:color="auto"/>
          </w:divBdr>
          <w:divsChild>
            <w:div w:id="1393847440">
              <w:marLeft w:val="0"/>
              <w:marRight w:val="0"/>
              <w:marTop w:val="0"/>
              <w:marBottom w:val="0"/>
              <w:divBdr>
                <w:top w:val="none" w:sz="0" w:space="0" w:color="auto"/>
                <w:left w:val="none" w:sz="0" w:space="0" w:color="auto"/>
                <w:bottom w:val="none" w:sz="0" w:space="0" w:color="auto"/>
                <w:right w:val="none" w:sz="0" w:space="0" w:color="auto"/>
              </w:divBdr>
              <w:divsChild>
                <w:div w:id="363167448">
                  <w:marLeft w:val="0"/>
                  <w:marRight w:val="0"/>
                  <w:marTop w:val="0"/>
                  <w:marBottom w:val="0"/>
                  <w:divBdr>
                    <w:top w:val="none" w:sz="0" w:space="0" w:color="auto"/>
                    <w:left w:val="none" w:sz="0" w:space="0" w:color="auto"/>
                    <w:bottom w:val="none" w:sz="0" w:space="0" w:color="auto"/>
                    <w:right w:val="none" w:sz="0" w:space="0" w:color="auto"/>
                  </w:divBdr>
                  <w:divsChild>
                    <w:div w:id="991640073">
                      <w:marLeft w:val="0"/>
                      <w:marRight w:val="0"/>
                      <w:marTop w:val="0"/>
                      <w:marBottom w:val="0"/>
                      <w:divBdr>
                        <w:top w:val="none" w:sz="0" w:space="0" w:color="auto"/>
                        <w:left w:val="none" w:sz="0" w:space="0" w:color="auto"/>
                        <w:bottom w:val="none" w:sz="0" w:space="0" w:color="auto"/>
                        <w:right w:val="none" w:sz="0" w:space="0" w:color="auto"/>
                      </w:divBdr>
                      <w:divsChild>
                        <w:div w:id="493842925">
                          <w:marLeft w:val="0"/>
                          <w:marRight w:val="0"/>
                          <w:marTop w:val="0"/>
                          <w:marBottom w:val="0"/>
                          <w:divBdr>
                            <w:top w:val="none" w:sz="0" w:space="0" w:color="auto"/>
                            <w:left w:val="none" w:sz="0" w:space="0" w:color="auto"/>
                            <w:bottom w:val="none" w:sz="0" w:space="0" w:color="auto"/>
                            <w:right w:val="none" w:sz="0" w:space="0" w:color="auto"/>
                          </w:divBdr>
                          <w:divsChild>
                            <w:div w:id="21468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13030">
      <w:bodyDiv w:val="1"/>
      <w:marLeft w:val="0"/>
      <w:marRight w:val="0"/>
      <w:marTop w:val="0"/>
      <w:marBottom w:val="0"/>
      <w:divBdr>
        <w:top w:val="none" w:sz="0" w:space="0" w:color="auto"/>
        <w:left w:val="none" w:sz="0" w:space="0" w:color="auto"/>
        <w:bottom w:val="none" w:sz="0" w:space="0" w:color="auto"/>
        <w:right w:val="none" w:sz="0" w:space="0" w:color="auto"/>
      </w:divBdr>
      <w:divsChild>
        <w:div w:id="562106937">
          <w:marLeft w:val="0"/>
          <w:marRight w:val="0"/>
          <w:marTop w:val="100"/>
          <w:marBottom w:val="100"/>
          <w:divBdr>
            <w:top w:val="none" w:sz="0" w:space="0" w:color="auto"/>
            <w:left w:val="none" w:sz="0" w:space="0" w:color="auto"/>
            <w:bottom w:val="none" w:sz="0" w:space="0" w:color="auto"/>
            <w:right w:val="none" w:sz="0" w:space="0" w:color="auto"/>
          </w:divBdr>
          <w:divsChild>
            <w:div w:id="1753509179">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493450871">
      <w:bodyDiv w:val="1"/>
      <w:marLeft w:val="0"/>
      <w:marRight w:val="0"/>
      <w:marTop w:val="0"/>
      <w:marBottom w:val="0"/>
      <w:divBdr>
        <w:top w:val="none" w:sz="0" w:space="0" w:color="auto"/>
        <w:left w:val="none" w:sz="0" w:space="0" w:color="auto"/>
        <w:bottom w:val="none" w:sz="0" w:space="0" w:color="auto"/>
        <w:right w:val="none" w:sz="0" w:space="0" w:color="auto"/>
      </w:divBdr>
      <w:divsChild>
        <w:div w:id="12342666">
          <w:marLeft w:val="0"/>
          <w:marRight w:val="0"/>
          <w:marTop w:val="0"/>
          <w:marBottom w:val="0"/>
          <w:divBdr>
            <w:top w:val="none" w:sz="0" w:space="0" w:color="auto"/>
            <w:left w:val="none" w:sz="0" w:space="0" w:color="auto"/>
            <w:bottom w:val="none" w:sz="0" w:space="0" w:color="auto"/>
            <w:right w:val="none" w:sz="0" w:space="0" w:color="auto"/>
          </w:divBdr>
        </w:div>
        <w:div w:id="578754253">
          <w:marLeft w:val="0"/>
          <w:marRight w:val="0"/>
          <w:marTop w:val="0"/>
          <w:marBottom w:val="0"/>
          <w:divBdr>
            <w:top w:val="none" w:sz="0" w:space="0" w:color="auto"/>
            <w:left w:val="none" w:sz="0" w:space="0" w:color="auto"/>
            <w:bottom w:val="none" w:sz="0" w:space="0" w:color="auto"/>
            <w:right w:val="none" w:sz="0" w:space="0" w:color="auto"/>
          </w:divBdr>
        </w:div>
        <w:div w:id="1032650863">
          <w:marLeft w:val="0"/>
          <w:marRight w:val="0"/>
          <w:marTop w:val="0"/>
          <w:marBottom w:val="0"/>
          <w:divBdr>
            <w:top w:val="none" w:sz="0" w:space="0" w:color="auto"/>
            <w:left w:val="none" w:sz="0" w:space="0" w:color="auto"/>
            <w:bottom w:val="none" w:sz="0" w:space="0" w:color="auto"/>
            <w:right w:val="none" w:sz="0" w:space="0" w:color="auto"/>
          </w:divBdr>
        </w:div>
        <w:div w:id="1457212673">
          <w:marLeft w:val="0"/>
          <w:marRight w:val="0"/>
          <w:marTop w:val="0"/>
          <w:marBottom w:val="0"/>
          <w:divBdr>
            <w:top w:val="none" w:sz="0" w:space="0" w:color="auto"/>
            <w:left w:val="none" w:sz="0" w:space="0" w:color="auto"/>
            <w:bottom w:val="none" w:sz="0" w:space="0" w:color="auto"/>
            <w:right w:val="none" w:sz="0" w:space="0" w:color="auto"/>
          </w:divBdr>
        </w:div>
      </w:divsChild>
    </w:div>
    <w:div w:id="500435523">
      <w:bodyDiv w:val="1"/>
      <w:marLeft w:val="0"/>
      <w:marRight w:val="0"/>
      <w:marTop w:val="0"/>
      <w:marBottom w:val="0"/>
      <w:divBdr>
        <w:top w:val="none" w:sz="0" w:space="0" w:color="auto"/>
        <w:left w:val="none" w:sz="0" w:space="0" w:color="auto"/>
        <w:bottom w:val="none" w:sz="0" w:space="0" w:color="auto"/>
        <w:right w:val="none" w:sz="0" w:space="0" w:color="auto"/>
      </w:divBdr>
      <w:divsChild>
        <w:div w:id="606038169">
          <w:marLeft w:val="0"/>
          <w:marRight w:val="0"/>
          <w:marTop w:val="0"/>
          <w:marBottom w:val="0"/>
          <w:divBdr>
            <w:top w:val="none" w:sz="0" w:space="0" w:color="auto"/>
            <w:left w:val="none" w:sz="0" w:space="0" w:color="auto"/>
            <w:bottom w:val="none" w:sz="0" w:space="0" w:color="auto"/>
            <w:right w:val="none" w:sz="0" w:space="0" w:color="auto"/>
          </w:divBdr>
        </w:div>
        <w:div w:id="754866315">
          <w:marLeft w:val="0"/>
          <w:marRight w:val="0"/>
          <w:marTop w:val="0"/>
          <w:marBottom w:val="0"/>
          <w:divBdr>
            <w:top w:val="none" w:sz="0" w:space="0" w:color="auto"/>
            <w:left w:val="none" w:sz="0" w:space="0" w:color="auto"/>
            <w:bottom w:val="none" w:sz="0" w:space="0" w:color="auto"/>
            <w:right w:val="none" w:sz="0" w:space="0" w:color="auto"/>
          </w:divBdr>
        </w:div>
        <w:div w:id="1119179656">
          <w:marLeft w:val="0"/>
          <w:marRight w:val="0"/>
          <w:marTop w:val="0"/>
          <w:marBottom w:val="0"/>
          <w:divBdr>
            <w:top w:val="none" w:sz="0" w:space="0" w:color="auto"/>
            <w:left w:val="none" w:sz="0" w:space="0" w:color="auto"/>
            <w:bottom w:val="none" w:sz="0" w:space="0" w:color="auto"/>
            <w:right w:val="none" w:sz="0" w:space="0" w:color="auto"/>
          </w:divBdr>
        </w:div>
        <w:div w:id="1298029864">
          <w:marLeft w:val="0"/>
          <w:marRight w:val="0"/>
          <w:marTop w:val="0"/>
          <w:marBottom w:val="0"/>
          <w:divBdr>
            <w:top w:val="none" w:sz="0" w:space="0" w:color="auto"/>
            <w:left w:val="none" w:sz="0" w:space="0" w:color="auto"/>
            <w:bottom w:val="none" w:sz="0" w:space="0" w:color="auto"/>
            <w:right w:val="none" w:sz="0" w:space="0" w:color="auto"/>
          </w:divBdr>
        </w:div>
        <w:div w:id="1372725399">
          <w:marLeft w:val="0"/>
          <w:marRight w:val="0"/>
          <w:marTop w:val="0"/>
          <w:marBottom w:val="0"/>
          <w:divBdr>
            <w:top w:val="none" w:sz="0" w:space="0" w:color="auto"/>
            <w:left w:val="none" w:sz="0" w:space="0" w:color="auto"/>
            <w:bottom w:val="none" w:sz="0" w:space="0" w:color="auto"/>
            <w:right w:val="none" w:sz="0" w:space="0" w:color="auto"/>
          </w:divBdr>
        </w:div>
        <w:div w:id="1515725575">
          <w:marLeft w:val="0"/>
          <w:marRight w:val="0"/>
          <w:marTop w:val="0"/>
          <w:marBottom w:val="0"/>
          <w:divBdr>
            <w:top w:val="none" w:sz="0" w:space="0" w:color="auto"/>
            <w:left w:val="none" w:sz="0" w:space="0" w:color="auto"/>
            <w:bottom w:val="none" w:sz="0" w:space="0" w:color="auto"/>
            <w:right w:val="none" w:sz="0" w:space="0" w:color="auto"/>
          </w:divBdr>
        </w:div>
        <w:div w:id="1567106067">
          <w:marLeft w:val="0"/>
          <w:marRight w:val="0"/>
          <w:marTop w:val="0"/>
          <w:marBottom w:val="0"/>
          <w:divBdr>
            <w:top w:val="none" w:sz="0" w:space="0" w:color="auto"/>
            <w:left w:val="none" w:sz="0" w:space="0" w:color="auto"/>
            <w:bottom w:val="none" w:sz="0" w:space="0" w:color="auto"/>
            <w:right w:val="none" w:sz="0" w:space="0" w:color="auto"/>
          </w:divBdr>
        </w:div>
        <w:div w:id="1627858371">
          <w:marLeft w:val="0"/>
          <w:marRight w:val="0"/>
          <w:marTop w:val="0"/>
          <w:marBottom w:val="0"/>
          <w:divBdr>
            <w:top w:val="none" w:sz="0" w:space="0" w:color="auto"/>
            <w:left w:val="none" w:sz="0" w:space="0" w:color="auto"/>
            <w:bottom w:val="none" w:sz="0" w:space="0" w:color="auto"/>
            <w:right w:val="none" w:sz="0" w:space="0" w:color="auto"/>
          </w:divBdr>
        </w:div>
        <w:div w:id="1716352498">
          <w:marLeft w:val="0"/>
          <w:marRight w:val="0"/>
          <w:marTop w:val="0"/>
          <w:marBottom w:val="0"/>
          <w:divBdr>
            <w:top w:val="none" w:sz="0" w:space="0" w:color="auto"/>
            <w:left w:val="none" w:sz="0" w:space="0" w:color="auto"/>
            <w:bottom w:val="none" w:sz="0" w:space="0" w:color="auto"/>
            <w:right w:val="none" w:sz="0" w:space="0" w:color="auto"/>
          </w:divBdr>
        </w:div>
        <w:div w:id="1722434878">
          <w:marLeft w:val="0"/>
          <w:marRight w:val="0"/>
          <w:marTop w:val="0"/>
          <w:marBottom w:val="0"/>
          <w:divBdr>
            <w:top w:val="none" w:sz="0" w:space="0" w:color="auto"/>
            <w:left w:val="none" w:sz="0" w:space="0" w:color="auto"/>
            <w:bottom w:val="none" w:sz="0" w:space="0" w:color="auto"/>
            <w:right w:val="none" w:sz="0" w:space="0" w:color="auto"/>
          </w:divBdr>
        </w:div>
        <w:div w:id="1858077822">
          <w:marLeft w:val="0"/>
          <w:marRight w:val="0"/>
          <w:marTop w:val="0"/>
          <w:marBottom w:val="0"/>
          <w:divBdr>
            <w:top w:val="none" w:sz="0" w:space="0" w:color="auto"/>
            <w:left w:val="none" w:sz="0" w:space="0" w:color="auto"/>
            <w:bottom w:val="none" w:sz="0" w:space="0" w:color="auto"/>
            <w:right w:val="none" w:sz="0" w:space="0" w:color="auto"/>
          </w:divBdr>
        </w:div>
        <w:div w:id="1952394905">
          <w:marLeft w:val="0"/>
          <w:marRight w:val="0"/>
          <w:marTop w:val="0"/>
          <w:marBottom w:val="0"/>
          <w:divBdr>
            <w:top w:val="none" w:sz="0" w:space="0" w:color="auto"/>
            <w:left w:val="none" w:sz="0" w:space="0" w:color="auto"/>
            <w:bottom w:val="none" w:sz="0" w:space="0" w:color="auto"/>
            <w:right w:val="none" w:sz="0" w:space="0" w:color="auto"/>
          </w:divBdr>
        </w:div>
        <w:div w:id="2083286965">
          <w:marLeft w:val="0"/>
          <w:marRight w:val="0"/>
          <w:marTop w:val="0"/>
          <w:marBottom w:val="0"/>
          <w:divBdr>
            <w:top w:val="none" w:sz="0" w:space="0" w:color="auto"/>
            <w:left w:val="none" w:sz="0" w:space="0" w:color="auto"/>
            <w:bottom w:val="none" w:sz="0" w:space="0" w:color="auto"/>
            <w:right w:val="none" w:sz="0" w:space="0" w:color="auto"/>
          </w:divBdr>
        </w:div>
      </w:divsChild>
    </w:div>
    <w:div w:id="523133866">
      <w:bodyDiv w:val="1"/>
      <w:marLeft w:val="0"/>
      <w:marRight w:val="0"/>
      <w:marTop w:val="0"/>
      <w:marBottom w:val="0"/>
      <w:divBdr>
        <w:top w:val="none" w:sz="0" w:space="0" w:color="auto"/>
        <w:left w:val="none" w:sz="0" w:space="0" w:color="auto"/>
        <w:bottom w:val="none" w:sz="0" w:space="0" w:color="auto"/>
        <w:right w:val="none" w:sz="0" w:space="0" w:color="auto"/>
      </w:divBdr>
      <w:divsChild>
        <w:div w:id="1534030400">
          <w:marLeft w:val="75"/>
          <w:marRight w:val="0"/>
          <w:marTop w:val="0"/>
          <w:marBottom w:val="0"/>
          <w:divBdr>
            <w:top w:val="none" w:sz="0" w:space="0" w:color="auto"/>
            <w:left w:val="none" w:sz="0" w:space="0" w:color="auto"/>
            <w:bottom w:val="none" w:sz="0" w:space="0" w:color="auto"/>
            <w:right w:val="none" w:sz="0" w:space="0" w:color="auto"/>
          </w:divBdr>
          <w:divsChild>
            <w:div w:id="1010647657">
              <w:marLeft w:val="0"/>
              <w:marRight w:val="0"/>
              <w:marTop w:val="0"/>
              <w:marBottom w:val="0"/>
              <w:divBdr>
                <w:top w:val="none" w:sz="0" w:space="0" w:color="auto"/>
                <w:left w:val="none" w:sz="0" w:space="0" w:color="auto"/>
                <w:bottom w:val="none" w:sz="0" w:space="0" w:color="auto"/>
                <w:right w:val="none" w:sz="0" w:space="0" w:color="auto"/>
              </w:divBdr>
              <w:divsChild>
                <w:div w:id="1396514956">
                  <w:marLeft w:val="0"/>
                  <w:marRight w:val="0"/>
                  <w:marTop w:val="0"/>
                  <w:marBottom w:val="0"/>
                  <w:divBdr>
                    <w:top w:val="none" w:sz="0" w:space="0" w:color="auto"/>
                    <w:left w:val="none" w:sz="0" w:space="0" w:color="auto"/>
                    <w:bottom w:val="none" w:sz="0" w:space="0" w:color="auto"/>
                    <w:right w:val="none" w:sz="0" w:space="0" w:color="auto"/>
                  </w:divBdr>
                  <w:divsChild>
                    <w:div w:id="191503411">
                      <w:marLeft w:val="0"/>
                      <w:marRight w:val="0"/>
                      <w:marTop w:val="0"/>
                      <w:marBottom w:val="0"/>
                      <w:divBdr>
                        <w:top w:val="none" w:sz="0" w:space="0" w:color="auto"/>
                        <w:left w:val="none" w:sz="0" w:space="0" w:color="auto"/>
                        <w:bottom w:val="none" w:sz="0" w:space="0" w:color="auto"/>
                        <w:right w:val="none" w:sz="0" w:space="0" w:color="auto"/>
                      </w:divBdr>
                      <w:divsChild>
                        <w:div w:id="1419598764">
                          <w:marLeft w:val="0"/>
                          <w:marRight w:val="0"/>
                          <w:marTop w:val="0"/>
                          <w:marBottom w:val="0"/>
                          <w:divBdr>
                            <w:top w:val="none" w:sz="0" w:space="0" w:color="auto"/>
                            <w:left w:val="none" w:sz="0" w:space="0" w:color="auto"/>
                            <w:bottom w:val="none" w:sz="0" w:space="0" w:color="auto"/>
                            <w:right w:val="none" w:sz="0" w:space="0" w:color="auto"/>
                          </w:divBdr>
                          <w:divsChild>
                            <w:div w:id="2903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65879">
      <w:bodyDiv w:val="1"/>
      <w:marLeft w:val="0"/>
      <w:marRight w:val="0"/>
      <w:marTop w:val="0"/>
      <w:marBottom w:val="0"/>
      <w:divBdr>
        <w:top w:val="none" w:sz="0" w:space="0" w:color="auto"/>
        <w:left w:val="none" w:sz="0" w:space="0" w:color="auto"/>
        <w:bottom w:val="none" w:sz="0" w:space="0" w:color="auto"/>
        <w:right w:val="none" w:sz="0" w:space="0" w:color="auto"/>
      </w:divBdr>
    </w:div>
    <w:div w:id="561015648">
      <w:bodyDiv w:val="1"/>
      <w:marLeft w:val="0"/>
      <w:marRight w:val="0"/>
      <w:marTop w:val="0"/>
      <w:marBottom w:val="0"/>
      <w:divBdr>
        <w:top w:val="none" w:sz="0" w:space="0" w:color="auto"/>
        <w:left w:val="none" w:sz="0" w:space="0" w:color="auto"/>
        <w:bottom w:val="none" w:sz="0" w:space="0" w:color="auto"/>
        <w:right w:val="none" w:sz="0" w:space="0" w:color="auto"/>
      </w:divBdr>
      <w:divsChild>
        <w:div w:id="1093551486">
          <w:marLeft w:val="0"/>
          <w:marRight w:val="0"/>
          <w:marTop w:val="0"/>
          <w:marBottom w:val="0"/>
          <w:divBdr>
            <w:top w:val="none" w:sz="0" w:space="0" w:color="auto"/>
            <w:left w:val="none" w:sz="0" w:space="0" w:color="auto"/>
            <w:bottom w:val="none" w:sz="0" w:space="0" w:color="auto"/>
            <w:right w:val="none" w:sz="0" w:space="0" w:color="auto"/>
          </w:divBdr>
          <w:divsChild>
            <w:div w:id="630482426">
              <w:marLeft w:val="0"/>
              <w:marRight w:val="0"/>
              <w:marTop w:val="0"/>
              <w:marBottom w:val="0"/>
              <w:divBdr>
                <w:top w:val="none" w:sz="0" w:space="0" w:color="auto"/>
                <w:left w:val="none" w:sz="0" w:space="0" w:color="auto"/>
                <w:bottom w:val="none" w:sz="0" w:space="0" w:color="auto"/>
                <w:right w:val="none" w:sz="0" w:space="0" w:color="auto"/>
              </w:divBdr>
              <w:divsChild>
                <w:div w:id="544487872">
                  <w:marLeft w:val="0"/>
                  <w:marRight w:val="0"/>
                  <w:marTop w:val="0"/>
                  <w:marBottom w:val="0"/>
                  <w:divBdr>
                    <w:top w:val="none" w:sz="0" w:space="0" w:color="auto"/>
                    <w:left w:val="none" w:sz="0" w:space="0" w:color="auto"/>
                    <w:bottom w:val="none" w:sz="0" w:space="0" w:color="auto"/>
                    <w:right w:val="none" w:sz="0" w:space="0" w:color="auto"/>
                  </w:divBdr>
                  <w:divsChild>
                    <w:div w:id="1276331878">
                      <w:marLeft w:val="0"/>
                      <w:marRight w:val="0"/>
                      <w:marTop w:val="0"/>
                      <w:marBottom w:val="0"/>
                      <w:divBdr>
                        <w:top w:val="single" w:sz="2" w:space="0" w:color="DFD0B9"/>
                        <w:left w:val="none" w:sz="0" w:space="0" w:color="auto"/>
                        <w:bottom w:val="none" w:sz="0" w:space="0" w:color="auto"/>
                        <w:right w:val="none" w:sz="0" w:space="0" w:color="auto"/>
                      </w:divBdr>
                    </w:div>
                  </w:divsChild>
                </w:div>
              </w:divsChild>
            </w:div>
          </w:divsChild>
        </w:div>
      </w:divsChild>
    </w:div>
    <w:div w:id="648554000">
      <w:bodyDiv w:val="1"/>
      <w:marLeft w:val="0"/>
      <w:marRight w:val="0"/>
      <w:marTop w:val="0"/>
      <w:marBottom w:val="0"/>
      <w:divBdr>
        <w:top w:val="none" w:sz="0" w:space="0" w:color="auto"/>
        <w:left w:val="none" w:sz="0" w:space="0" w:color="auto"/>
        <w:bottom w:val="none" w:sz="0" w:space="0" w:color="auto"/>
        <w:right w:val="none" w:sz="0" w:space="0" w:color="auto"/>
      </w:divBdr>
    </w:div>
    <w:div w:id="661391291">
      <w:bodyDiv w:val="1"/>
      <w:marLeft w:val="0"/>
      <w:marRight w:val="0"/>
      <w:marTop w:val="0"/>
      <w:marBottom w:val="0"/>
      <w:divBdr>
        <w:top w:val="none" w:sz="0" w:space="0" w:color="auto"/>
        <w:left w:val="none" w:sz="0" w:space="0" w:color="auto"/>
        <w:bottom w:val="none" w:sz="0" w:space="0" w:color="auto"/>
        <w:right w:val="none" w:sz="0" w:space="0" w:color="auto"/>
      </w:divBdr>
    </w:div>
    <w:div w:id="685595366">
      <w:bodyDiv w:val="1"/>
      <w:marLeft w:val="0"/>
      <w:marRight w:val="0"/>
      <w:marTop w:val="0"/>
      <w:marBottom w:val="0"/>
      <w:divBdr>
        <w:top w:val="none" w:sz="0" w:space="0" w:color="auto"/>
        <w:left w:val="none" w:sz="0" w:space="0" w:color="auto"/>
        <w:bottom w:val="none" w:sz="0" w:space="0" w:color="auto"/>
        <w:right w:val="none" w:sz="0" w:space="0" w:color="auto"/>
      </w:divBdr>
      <w:divsChild>
        <w:div w:id="880701672">
          <w:marLeft w:val="0"/>
          <w:marRight w:val="0"/>
          <w:marTop w:val="0"/>
          <w:marBottom w:val="0"/>
          <w:divBdr>
            <w:top w:val="none" w:sz="0" w:space="0" w:color="auto"/>
            <w:left w:val="none" w:sz="0" w:space="0" w:color="auto"/>
            <w:bottom w:val="none" w:sz="0" w:space="0" w:color="auto"/>
            <w:right w:val="none" w:sz="0" w:space="0" w:color="auto"/>
          </w:divBdr>
          <w:divsChild>
            <w:div w:id="2092771088">
              <w:marLeft w:val="0"/>
              <w:marRight w:val="0"/>
              <w:marTop w:val="0"/>
              <w:marBottom w:val="0"/>
              <w:divBdr>
                <w:top w:val="none" w:sz="0" w:space="0" w:color="auto"/>
                <w:left w:val="none" w:sz="0" w:space="0" w:color="auto"/>
                <w:bottom w:val="none" w:sz="0" w:space="0" w:color="auto"/>
                <w:right w:val="none" w:sz="0" w:space="0" w:color="auto"/>
              </w:divBdr>
              <w:divsChild>
                <w:div w:id="1443917598">
                  <w:marLeft w:val="0"/>
                  <w:marRight w:val="0"/>
                  <w:marTop w:val="0"/>
                  <w:marBottom w:val="0"/>
                  <w:divBdr>
                    <w:top w:val="single" w:sz="2" w:space="0" w:color="DFD0B9"/>
                    <w:left w:val="none" w:sz="0" w:space="0" w:color="auto"/>
                    <w:bottom w:val="none" w:sz="0" w:space="0" w:color="auto"/>
                    <w:right w:val="none" w:sz="0" w:space="0" w:color="auto"/>
                  </w:divBdr>
                </w:div>
              </w:divsChild>
            </w:div>
          </w:divsChild>
        </w:div>
      </w:divsChild>
    </w:div>
    <w:div w:id="716970259">
      <w:bodyDiv w:val="1"/>
      <w:marLeft w:val="0"/>
      <w:marRight w:val="0"/>
      <w:marTop w:val="0"/>
      <w:marBottom w:val="0"/>
      <w:divBdr>
        <w:top w:val="none" w:sz="0" w:space="0" w:color="auto"/>
        <w:left w:val="none" w:sz="0" w:space="0" w:color="auto"/>
        <w:bottom w:val="none" w:sz="0" w:space="0" w:color="auto"/>
        <w:right w:val="none" w:sz="0" w:space="0" w:color="auto"/>
      </w:divBdr>
      <w:divsChild>
        <w:div w:id="68116471">
          <w:marLeft w:val="75"/>
          <w:marRight w:val="0"/>
          <w:marTop w:val="0"/>
          <w:marBottom w:val="0"/>
          <w:divBdr>
            <w:top w:val="none" w:sz="0" w:space="0" w:color="auto"/>
            <w:left w:val="none" w:sz="0" w:space="0" w:color="auto"/>
            <w:bottom w:val="none" w:sz="0" w:space="0" w:color="auto"/>
            <w:right w:val="none" w:sz="0" w:space="0" w:color="auto"/>
          </w:divBdr>
          <w:divsChild>
            <w:div w:id="1798524830">
              <w:marLeft w:val="0"/>
              <w:marRight w:val="0"/>
              <w:marTop w:val="0"/>
              <w:marBottom w:val="0"/>
              <w:divBdr>
                <w:top w:val="none" w:sz="0" w:space="0" w:color="auto"/>
                <w:left w:val="none" w:sz="0" w:space="0" w:color="auto"/>
                <w:bottom w:val="none" w:sz="0" w:space="0" w:color="auto"/>
                <w:right w:val="none" w:sz="0" w:space="0" w:color="auto"/>
              </w:divBdr>
              <w:divsChild>
                <w:div w:id="1450778008">
                  <w:marLeft w:val="0"/>
                  <w:marRight w:val="0"/>
                  <w:marTop w:val="0"/>
                  <w:marBottom w:val="0"/>
                  <w:divBdr>
                    <w:top w:val="none" w:sz="0" w:space="0" w:color="auto"/>
                    <w:left w:val="none" w:sz="0" w:space="0" w:color="auto"/>
                    <w:bottom w:val="none" w:sz="0" w:space="0" w:color="auto"/>
                    <w:right w:val="none" w:sz="0" w:space="0" w:color="auto"/>
                  </w:divBdr>
                  <w:divsChild>
                    <w:div w:id="1014307847">
                      <w:marLeft w:val="0"/>
                      <w:marRight w:val="0"/>
                      <w:marTop w:val="0"/>
                      <w:marBottom w:val="0"/>
                      <w:divBdr>
                        <w:top w:val="none" w:sz="0" w:space="0" w:color="auto"/>
                        <w:left w:val="none" w:sz="0" w:space="0" w:color="auto"/>
                        <w:bottom w:val="none" w:sz="0" w:space="0" w:color="auto"/>
                        <w:right w:val="none" w:sz="0" w:space="0" w:color="auto"/>
                      </w:divBdr>
                      <w:divsChild>
                        <w:div w:id="1444954061">
                          <w:marLeft w:val="0"/>
                          <w:marRight w:val="0"/>
                          <w:marTop w:val="0"/>
                          <w:marBottom w:val="0"/>
                          <w:divBdr>
                            <w:top w:val="none" w:sz="0" w:space="0" w:color="auto"/>
                            <w:left w:val="none" w:sz="0" w:space="0" w:color="auto"/>
                            <w:bottom w:val="none" w:sz="0" w:space="0" w:color="auto"/>
                            <w:right w:val="none" w:sz="0" w:space="0" w:color="auto"/>
                          </w:divBdr>
                          <w:divsChild>
                            <w:div w:id="18797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77698">
      <w:bodyDiv w:val="1"/>
      <w:marLeft w:val="0"/>
      <w:marRight w:val="0"/>
      <w:marTop w:val="0"/>
      <w:marBottom w:val="0"/>
      <w:divBdr>
        <w:top w:val="none" w:sz="0" w:space="0" w:color="auto"/>
        <w:left w:val="none" w:sz="0" w:space="0" w:color="auto"/>
        <w:bottom w:val="none" w:sz="0" w:space="0" w:color="auto"/>
        <w:right w:val="none" w:sz="0" w:space="0" w:color="auto"/>
      </w:divBdr>
    </w:div>
    <w:div w:id="769937354">
      <w:bodyDiv w:val="1"/>
      <w:marLeft w:val="0"/>
      <w:marRight w:val="0"/>
      <w:marTop w:val="0"/>
      <w:marBottom w:val="0"/>
      <w:divBdr>
        <w:top w:val="none" w:sz="0" w:space="0" w:color="auto"/>
        <w:left w:val="none" w:sz="0" w:space="0" w:color="auto"/>
        <w:bottom w:val="none" w:sz="0" w:space="0" w:color="auto"/>
        <w:right w:val="none" w:sz="0" w:space="0" w:color="auto"/>
      </w:divBdr>
    </w:div>
    <w:div w:id="782070980">
      <w:bodyDiv w:val="1"/>
      <w:marLeft w:val="0"/>
      <w:marRight w:val="0"/>
      <w:marTop w:val="0"/>
      <w:marBottom w:val="0"/>
      <w:divBdr>
        <w:top w:val="none" w:sz="0" w:space="0" w:color="auto"/>
        <w:left w:val="none" w:sz="0" w:space="0" w:color="auto"/>
        <w:bottom w:val="none" w:sz="0" w:space="0" w:color="auto"/>
        <w:right w:val="none" w:sz="0" w:space="0" w:color="auto"/>
      </w:divBdr>
      <w:divsChild>
        <w:div w:id="561405926">
          <w:marLeft w:val="0"/>
          <w:marRight w:val="0"/>
          <w:marTop w:val="0"/>
          <w:marBottom w:val="0"/>
          <w:divBdr>
            <w:top w:val="none" w:sz="0" w:space="0" w:color="auto"/>
            <w:left w:val="none" w:sz="0" w:space="0" w:color="auto"/>
            <w:bottom w:val="none" w:sz="0" w:space="0" w:color="auto"/>
            <w:right w:val="none" w:sz="0" w:space="0" w:color="auto"/>
          </w:divBdr>
        </w:div>
      </w:divsChild>
    </w:div>
    <w:div w:id="826288052">
      <w:bodyDiv w:val="1"/>
      <w:marLeft w:val="0"/>
      <w:marRight w:val="0"/>
      <w:marTop w:val="0"/>
      <w:marBottom w:val="0"/>
      <w:divBdr>
        <w:top w:val="none" w:sz="0" w:space="0" w:color="auto"/>
        <w:left w:val="none" w:sz="0" w:space="0" w:color="auto"/>
        <w:bottom w:val="none" w:sz="0" w:space="0" w:color="auto"/>
        <w:right w:val="none" w:sz="0" w:space="0" w:color="auto"/>
      </w:divBdr>
    </w:div>
    <w:div w:id="859126412">
      <w:bodyDiv w:val="1"/>
      <w:marLeft w:val="0"/>
      <w:marRight w:val="0"/>
      <w:marTop w:val="0"/>
      <w:marBottom w:val="0"/>
      <w:divBdr>
        <w:top w:val="none" w:sz="0" w:space="0" w:color="auto"/>
        <w:left w:val="none" w:sz="0" w:space="0" w:color="auto"/>
        <w:bottom w:val="none" w:sz="0" w:space="0" w:color="auto"/>
        <w:right w:val="none" w:sz="0" w:space="0" w:color="auto"/>
      </w:divBdr>
      <w:divsChild>
        <w:div w:id="1166939018">
          <w:marLeft w:val="0"/>
          <w:marRight w:val="0"/>
          <w:marTop w:val="0"/>
          <w:marBottom w:val="0"/>
          <w:divBdr>
            <w:top w:val="none" w:sz="0" w:space="0" w:color="auto"/>
            <w:left w:val="none" w:sz="0" w:space="0" w:color="auto"/>
            <w:bottom w:val="none" w:sz="0" w:space="0" w:color="auto"/>
            <w:right w:val="none" w:sz="0" w:space="0" w:color="auto"/>
          </w:divBdr>
        </w:div>
      </w:divsChild>
    </w:div>
    <w:div w:id="884870137">
      <w:bodyDiv w:val="1"/>
      <w:marLeft w:val="0"/>
      <w:marRight w:val="0"/>
      <w:marTop w:val="0"/>
      <w:marBottom w:val="0"/>
      <w:divBdr>
        <w:top w:val="none" w:sz="0" w:space="0" w:color="auto"/>
        <w:left w:val="none" w:sz="0" w:space="0" w:color="auto"/>
        <w:bottom w:val="none" w:sz="0" w:space="0" w:color="auto"/>
        <w:right w:val="none" w:sz="0" w:space="0" w:color="auto"/>
      </w:divBdr>
    </w:div>
    <w:div w:id="1010058888">
      <w:bodyDiv w:val="1"/>
      <w:marLeft w:val="0"/>
      <w:marRight w:val="0"/>
      <w:marTop w:val="0"/>
      <w:marBottom w:val="0"/>
      <w:divBdr>
        <w:top w:val="none" w:sz="0" w:space="0" w:color="auto"/>
        <w:left w:val="none" w:sz="0" w:space="0" w:color="auto"/>
        <w:bottom w:val="none" w:sz="0" w:space="0" w:color="auto"/>
        <w:right w:val="none" w:sz="0" w:space="0" w:color="auto"/>
      </w:divBdr>
      <w:divsChild>
        <w:div w:id="23944100">
          <w:marLeft w:val="75"/>
          <w:marRight w:val="0"/>
          <w:marTop w:val="0"/>
          <w:marBottom w:val="0"/>
          <w:divBdr>
            <w:top w:val="none" w:sz="0" w:space="0" w:color="auto"/>
            <w:left w:val="none" w:sz="0" w:space="0" w:color="auto"/>
            <w:bottom w:val="none" w:sz="0" w:space="0" w:color="auto"/>
            <w:right w:val="none" w:sz="0" w:space="0" w:color="auto"/>
          </w:divBdr>
          <w:divsChild>
            <w:div w:id="365258989">
              <w:marLeft w:val="0"/>
              <w:marRight w:val="0"/>
              <w:marTop w:val="0"/>
              <w:marBottom w:val="0"/>
              <w:divBdr>
                <w:top w:val="none" w:sz="0" w:space="0" w:color="auto"/>
                <w:left w:val="none" w:sz="0" w:space="0" w:color="auto"/>
                <w:bottom w:val="none" w:sz="0" w:space="0" w:color="auto"/>
                <w:right w:val="none" w:sz="0" w:space="0" w:color="auto"/>
              </w:divBdr>
              <w:divsChild>
                <w:div w:id="1964578441">
                  <w:marLeft w:val="0"/>
                  <w:marRight w:val="0"/>
                  <w:marTop w:val="0"/>
                  <w:marBottom w:val="0"/>
                  <w:divBdr>
                    <w:top w:val="none" w:sz="0" w:space="0" w:color="auto"/>
                    <w:left w:val="none" w:sz="0" w:space="0" w:color="auto"/>
                    <w:bottom w:val="none" w:sz="0" w:space="0" w:color="auto"/>
                    <w:right w:val="none" w:sz="0" w:space="0" w:color="auto"/>
                  </w:divBdr>
                  <w:divsChild>
                    <w:div w:id="1622421003">
                      <w:marLeft w:val="0"/>
                      <w:marRight w:val="0"/>
                      <w:marTop w:val="0"/>
                      <w:marBottom w:val="0"/>
                      <w:divBdr>
                        <w:top w:val="none" w:sz="0" w:space="0" w:color="auto"/>
                        <w:left w:val="none" w:sz="0" w:space="0" w:color="auto"/>
                        <w:bottom w:val="none" w:sz="0" w:space="0" w:color="auto"/>
                        <w:right w:val="none" w:sz="0" w:space="0" w:color="auto"/>
                      </w:divBdr>
                      <w:divsChild>
                        <w:div w:id="1926765112">
                          <w:marLeft w:val="0"/>
                          <w:marRight w:val="0"/>
                          <w:marTop w:val="0"/>
                          <w:marBottom w:val="0"/>
                          <w:divBdr>
                            <w:top w:val="none" w:sz="0" w:space="0" w:color="auto"/>
                            <w:left w:val="none" w:sz="0" w:space="0" w:color="auto"/>
                            <w:bottom w:val="none" w:sz="0" w:space="0" w:color="auto"/>
                            <w:right w:val="none" w:sz="0" w:space="0" w:color="auto"/>
                          </w:divBdr>
                          <w:divsChild>
                            <w:div w:id="1378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2855">
      <w:bodyDiv w:val="1"/>
      <w:marLeft w:val="0"/>
      <w:marRight w:val="0"/>
      <w:marTop w:val="0"/>
      <w:marBottom w:val="0"/>
      <w:divBdr>
        <w:top w:val="none" w:sz="0" w:space="0" w:color="auto"/>
        <w:left w:val="none" w:sz="0" w:space="0" w:color="auto"/>
        <w:bottom w:val="none" w:sz="0" w:space="0" w:color="auto"/>
        <w:right w:val="none" w:sz="0" w:space="0" w:color="auto"/>
      </w:divBdr>
    </w:div>
    <w:div w:id="1064253342">
      <w:bodyDiv w:val="1"/>
      <w:marLeft w:val="0"/>
      <w:marRight w:val="0"/>
      <w:marTop w:val="0"/>
      <w:marBottom w:val="0"/>
      <w:divBdr>
        <w:top w:val="none" w:sz="0" w:space="0" w:color="auto"/>
        <w:left w:val="none" w:sz="0" w:space="0" w:color="auto"/>
        <w:bottom w:val="none" w:sz="0" w:space="0" w:color="auto"/>
        <w:right w:val="none" w:sz="0" w:space="0" w:color="auto"/>
      </w:divBdr>
    </w:div>
    <w:div w:id="1079445502">
      <w:bodyDiv w:val="1"/>
      <w:marLeft w:val="0"/>
      <w:marRight w:val="0"/>
      <w:marTop w:val="0"/>
      <w:marBottom w:val="0"/>
      <w:divBdr>
        <w:top w:val="none" w:sz="0" w:space="0" w:color="auto"/>
        <w:left w:val="none" w:sz="0" w:space="0" w:color="auto"/>
        <w:bottom w:val="none" w:sz="0" w:space="0" w:color="auto"/>
        <w:right w:val="none" w:sz="0" w:space="0" w:color="auto"/>
      </w:divBdr>
      <w:divsChild>
        <w:div w:id="511072197">
          <w:marLeft w:val="75"/>
          <w:marRight w:val="0"/>
          <w:marTop w:val="0"/>
          <w:marBottom w:val="0"/>
          <w:divBdr>
            <w:top w:val="none" w:sz="0" w:space="0" w:color="auto"/>
            <w:left w:val="none" w:sz="0" w:space="0" w:color="auto"/>
            <w:bottom w:val="none" w:sz="0" w:space="0" w:color="auto"/>
            <w:right w:val="none" w:sz="0" w:space="0" w:color="auto"/>
          </w:divBdr>
          <w:divsChild>
            <w:div w:id="2117483465">
              <w:marLeft w:val="0"/>
              <w:marRight w:val="0"/>
              <w:marTop w:val="0"/>
              <w:marBottom w:val="0"/>
              <w:divBdr>
                <w:top w:val="none" w:sz="0" w:space="0" w:color="auto"/>
                <w:left w:val="none" w:sz="0" w:space="0" w:color="auto"/>
                <w:bottom w:val="none" w:sz="0" w:space="0" w:color="auto"/>
                <w:right w:val="none" w:sz="0" w:space="0" w:color="auto"/>
              </w:divBdr>
              <w:divsChild>
                <w:div w:id="1330252937">
                  <w:marLeft w:val="0"/>
                  <w:marRight w:val="0"/>
                  <w:marTop w:val="0"/>
                  <w:marBottom w:val="0"/>
                  <w:divBdr>
                    <w:top w:val="none" w:sz="0" w:space="0" w:color="auto"/>
                    <w:left w:val="none" w:sz="0" w:space="0" w:color="auto"/>
                    <w:bottom w:val="none" w:sz="0" w:space="0" w:color="auto"/>
                    <w:right w:val="none" w:sz="0" w:space="0" w:color="auto"/>
                  </w:divBdr>
                  <w:divsChild>
                    <w:div w:id="741218788">
                      <w:marLeft w:val="0"/>
                      <w:marRight w:val="0"/>
                      <w:marTop w:val="0"/>
                      <w:marBottom w:val="0"/>
                      <w:divBdr>
                        <w:top w:val="none" w:sz="0" w:space="0" w:color="auto"/>
                        <w:left w:val="none" w:sz="0" w:space="0" w:color="auto"/>
                        <w:bottom w:val="none" w:sz="0" w:space="0" w:color="auto"/>
                        <w:right w:val="none" w:sz="0" w:space="0" w:color="auto"/>
                      </w:divBdr>
                      <w:divsChild>
                        <w:div w:id="465588941">
                          <w:marLeft w:val="0"/>
                          <w:marRight w:val="0"/>
                          <w:marTop w:val="0"/>
                          <w:marBottom w:val="0"/>
                          <w:divBdr>
                            <w:top w:val="none" w:sz="0" w:space="0" w:color="auto"/>
                            <w:left w:val="none" w:sz="0" w:space="0" w:color="auto"/>
                            <w:bottom w:val="none" w:sz="0" w:space="0" w:color="auto"/>
                            <w:right w:val="none" w:sz="0" w:space="0" w:color="auto"/>
                          </w:divBdr>
                          <w:divsChild>
                            <w:div w:id="16147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835419">
      <w:bodyDiv w:val="1"/>
      <w:marLeft w:val="0"/>
      <w:marRight w:val="0"/>
      <w:marTop w:val="0"/>
      <w:marBottom w:val="0"/>
      <w:divBdr>
        <w:top w:val="none" w:sz="0" w:space="0" w:color="auto"/>
        <w:left w:val="none" w:sz="0" w:space="0" w:color="auto"/>
        <w:bottom w:val="none" w:sz="0" w:space="0" w:color="auto"/>
        <w:right w:val="none" w:sz="0" w:space="0" w:color="auto"/>
      </w:divBdr>
      <w:divsChild>
        <w:div w:id="445009203">
          <w:marLeft w:val="0"/>
          <w:marRight w:val="0"/>
          <w:marTop w:val="0"/>
          <w:marBottom w:val="0"/>
          <w:divBdr>
            <w:top w:val="none" w:sz="0" w:space="0" w:color="auto"/>
            <w:left w:val="none" w:sz="0" w:space="0" w:color="auto"/>
            <w:bottom w:val="none" w:sz="0" w:space="0" w:color="auto"/>
            <w:right w:val="none" w:sz="0" w:space="0" w:color="auto"/>
          </w:divBdr>
        </w:div>
      </w:divsChild>
    </w:div>
    <w:div w:id="1099332502">
      <w:bodyDiv w:val="1"/>
      <w:marLeft w:val="0"/>
      <w:marRight w:val="0"/>
      <w:marTop w:val="0"/>
      <w:marBottom w:val="0"/>
      <w:divBdr>
        <w:top w:val="none" w:sz="0" w:space="0" w:color="auto"/>
        <w:left w:val="none" w:sz="0" w:space="0" w:color="auto"/>
        <w:bottom w:val="none" w:sz="0" w:space="0" w:color="auto"/>
        <w:right w:val="none" w:sz="0" w:space="0" w:color="auto"/>
      </w:divBdr>
    </w:div>
    <w:div w:id="1120538774">
      <w:bodyDiv w:val="1"/>
      <w:marLeft w:val="0"/>
      <w:marRight w:val="0"/>
      <w:marTop w:val="0"/>
      <w:marBottom w:val="0"/>
      <w:divBdr>
        <w:top w:val="none" w:sz="0" w:space="0" w:color="auto"/>
        <w:left w:val="none" w:sz="0" w:space="0" w:color="auto"/>
        <w:bottom w:val="none" w:sz="0" w:space="0" w:color="auto"/>
        <w:right w:val="none" w:sz="0" w:space="0" w:color="auto"/>
      </w:divBdr>
    </w:div>
    <w:div w:id="1126780201">
      <w:bodyDiv w:val="1"/>
      <w:marLeft w:val="0"/>
      <w:marRight w:val="0"/>
      <w:marTop w:val="0"/>
      <w:marBottom w:val="0"/>
      <w:divBdr>
        <w:top w:val="none" w:sz="0" w:space="0" w:color="auto"/>
        <w:left w:val="none" w:sz="0" w:space="0" w:color="auto"/>
        <w:bottom w:val="none" w:sz="0" w:space="0" w:color="auto"/>
        <w:right w:val="none" w:sz="0" w:space="0" w:color="auto"/>
      </w:divBdr>
      <w:divsChild>
        <w:div w:id="1597327066">
          <w:marLeft w:val="75"/>
          <w:marRight w:val="0"/>
          <w:marTop w:val="0"/>
          <w:marBottom w:val="0"/>
          <w:divBdr>
            <w:top w:val="none" w:sz="0" w:space="0" w:color="auto"/>
            <w:left w:val="none" w:sz="0" w:space="0" w:color="auto"/>
            <w:bottom w:val="none" w:sz="0" w:space="0" w:color="auto"/>
            <w:right w:val="none" w:sz="0" w:space="0" w:color="auto"/>
          </w:divBdr>
          <w:divsChild>
            <w:div w:id="1430394864">
              <w:marLeft w:val="0"/>
              <w:marRight w:val="0"/>
              <w:marTop w:val="0"/>
              <w:marBottom w:val="0"/>
              <w:divBdr>
                <w:top w:val="none" w:sz="0" w:space="0" w:color="auto"/>
                <w:left w:val="none" w:sz="0" w:space="0" w:color="auto"/>
                <w:bottom w:val="none" w:sz="0" w:space="0" w:color="auto"/>
                <w:right w:val="none" w:sz="0" w:space="0" w:color="auto"/>
              </w:divBdr>
              <w:divsChild>
                <w:div w:id="776869848">
                  <w:marLeft w:val="0"/>
                  <w:marRight w:val="0"/>
                  <w:marTop w:val="0"/>
                  <w:marBottom w:val="0"/>
                  <w:divBdr>
                    <w:top w:val="none" w:sz="0" w:space="0" w:color="auto"/>
                    <w:left w:val="none" w:sz="0" w:space="0" w:color="auto"/>
                    <w:bottom w:val="none" w:sz="0" w:space="0" w:color="auto"/>
                    <w:right w:val="none" w:sz="0" w:space="0" w:color="auto"/>
                  </w:divBdr>
                  <w:divsChild>
                    <w:div w:id="1594320457">
                      <w:marLeft w:val="0"/>
                      <w:marRight w:val="0"/>
                      <w:marTop w:val="0"/>
                      <w:marBottom w:val="0"/>
                      <w:divBdr>
                        <w:top w:val="none" w:sz="0" w:space="0" w:color="auto"/>
                        <w:left w:val="none" w:sz="0" w:space="0" w:color="auto"/>
                        <w:bottom w:val="none" w:sz="0" w:space="0" w:color="auto"/>
                        <w:right w:val="none" w:sz="0" w:space="0" w:color="auto"/>
                      </w:divBdr>
                      <w:divsChild>
                        <w:div w:id="1043137305">
                          <w:marLeft w:val="0"/>
                          <w:marRight w:val="0"/>
                          <w:marTop w:val="0"/>
                          <w:marBottom w:val="0"/>
                          <w:divBdr>
                            <w:top w:val="none" w:sz="0" w:space="0" w:color="auto"/>
                            <w:left w:val="none" w:sz="0" w:space="0" w:color="auto"/>
                            <w:bottom w:val="none" w:sz="0" w:space="0" w:color="auto"/>
                            <w:right w:val="none" w:sz="0" w:space="0" w:color="auto"/>
                          </w:divBdr>
                          <w:divsChild>
                            <w:div w:id="919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135027">
      <w:bodyDiv w:val="1"/>
      <w:marLeft w:val="0"/>
      <w:marRight w:val="0"/>
      <w:marTop w:val="0"/>
      <w:marBottom w:val="0"/>
      <w:divBdr>
        <w:top w:val="none" w:sz="0" w:space="0" w:color="auto"/>
        <w:left w:val="none" w:sz="0" w:space="0" w:color="auto"/>
        <w:bottom w:val="none" w:sz="0" w:space="0" w:color="auto"/>
        <w:right w:val="none" w:sz="0" w:space="0" w:color="auto"/>
      </w:divBdr>
      <w:divsChild>
        <w:div w:id="633413169">
          <w:marLeft w:val="0"/>
          <w:marRight w:val="0"/>
          <w:marTop w:val="0"/>
          <w:marBottom w:val="0"/>
          <w:divBdr>
            <w:top w:val="none" w:sz="0" w:space="0" w:color="auto"/>
            <w:left w:val="none" w:sz="0" w:space="0" w:color="auto"/>
            <w:bottom w:val="none" w:sz="0" w:space="0" w:color="auto"/>
            <w:right w:val="none" w:sz="0" w:space="0" w:color="auto"/>
          </w:divBdr>
          <w:divsChild>
            <w:div w:id="693043344">
              <w:marLeft w:val="0"/>
              <w:marRight w:val="0"/>
              <w:marTop w:val="0"/>
              <w:marBottom w:val="0"/>
              <w:divBdr>
                <w:top w:val="none" w:sz="0" w:space="0" w:color="auto"/>
                <w:left w:val="none" w:sz="0" w:space="0" w:color="auto"/>
                <w:bottom w:val="none" w:sz="0" w:space="0" w:color="auto"/>
                <w:right w:val="none" w:sz="0" w:space="0" w:color="auto"/>
              </w:divBdr>
              <w:divsChild>
                <w:div w:id="1442916125">
                  <w:marLeft w:val="0"/>
                  <w:marRight w:val="300"/>
                  <w:marTop w:val="0"/>
                  <w:marBottom w:val="0"/>
                  <w:divBdr>
                    <w:top w:val="none" w:sz="0" w:space="0" w:color="auto"/>
                    <w:left w:val="none" w:sz="0" w:space="0" w:color="auto"/>
                    <w:bottom w:val="none" w:sz="0" w:space="0" w:color="auto"/>
                    <w:right w:val="none" w:sz="0" w:space="0" w:color="auto"/>
                  </w:divBdr>
                  <w:divsChild>
                    <w:div w:id="352459033">
                      <w:marLeft w:val="0"/>
                      <w:marRight w:val="0"/>
                      <w:marTop w:val="0"/>
                      <w:marBottom w:val="225"/>
                      <w:divBdr>
                        <w:top w:val="single" w:sz="6" w:space="8" w:color="FFFFFF"/>
                        <w:left w:val="single" w:sz="6" w:space="0" w:color="FFFFFF"/>
                        <w:bottom w:val="single" w:sz="6" w:space="0" w:color="CCCCCC"/>
                        <w:right w:val="single" w:sz="6" w:space="0" w:color="FFFFFF"/>
                      </w:divBdr>
                      <w:divsChild>
                        <w:div w:id="1061056788">
                          <w:marLeft w:val="150"/>
                          <w:marRight w:val="150"/>
                          <w:marTop w:val="0"/>
                          <w:marBottom w:val="0"/>
                          <w:divBdr>
                            <w:top w:val="none" w:sz="0" w:space="0" w:color="auto"/>
                            <w:left w:val="none" w:sz="0" w:space="0" w:color="auto"/>
                            <w:bottom w:val="none" w:sz="0" w:space="0" w:color="auto"/>
                            <w:right w:val="none" w:sz="0" w:space="0" w:color="auto"/>
                          </w:divBdr>
                        </w:div>
                        <w:div w:id="1179544284">
                          <w:marLeft w:val="0"/>
                          <w:marRight w:val="0"/>
                          <w:marTop w:val="3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178692919">
      <w:bodyDiv w:val="1"/>
      <w:marLeft w:val="60"/>
      <w:marRight w:val="60"/>
      <w:marTop w:val="60"/>
      <w:marBottom w:val="15"/>
      <w:divBdr>
        <w:top w:val="none" w:sz="0" w:space="0" w:color="auto"/>
        <w:left w:val="none" w:sz="0" w:space="0" w:color="auto"/>
        <w:bottom w:val="none" w:sz="0" w:space="0" w:color="auto"/>
        <w:right w:val="none" w:sz="0" w:space="0" w:color="auto"/>
      </w:divBdr>
      <w:divsChild>
        <w:div w:id="14580918">
          <w:marLeft w:val="0"/>
          <w:marRight w:val="0"/>
          <w:marTop w:val="0"/>
          <w:marBottom w:val="0"/>
          <w:divBdr>
            <w:top w:val="none" w:sz="0" w:space="0" w:color="auto"/>
            <w:left w:val="none" w:sz="0" w:space="0" w:color="auto"/>
            <w:bottom w:val="none" w:sz="0" w:space="0" w:color="auto"/>
            <w:right w:val="none" w:sz="0" w:space="0" w:color="auto"/>
          </w:divBdr>
        </w:div>
        <w:div w:id="92173702">
          <w:marLeft w:val="0"/>
          <w:marRight w:val="0"/>
          <w:marTop w:val="0"/>
          <w:marBottom w:val="0"/>
          <w:divBdr>
            <w:top w:val="none" w:sz="0" w:space="0" w:color="auto"/>
            <w:left w:val="none" w:sz="0" w:space="0" w:color="auto"/>
            <w:bottom w:val="none" w:sz="0" w:space="0" w:color="auto"/>
            <w:right w:val="none" w:sz="0" w:space="0" w:color="auto"/>
          </w:divBdr>
        </w:div>
        <w:div w:id="636302846">
          <w:marLeft w:val="0"/>
          <w:marRight w:val="0"/>
          <w:marTop w:val="0"/>
          <w:marBottom w:val="0"/>
          <w:divBdr>
            <w:top w:val="none" w:sz="0" w:space="0" w:color="auto"/>
            <w:left w:val="none" w:sz="0" w:space="0" w:color="auto"/>
            <w:bottom w:val="none" w:sz="0" w:space="0" w:color="auto"/>
            <w:right w:val="none" w:sz="0" w:space="0" w:color="auto"/>
          </w:divBdr>
        </w:div>
        <w:div w:id="737169525">
          <w:marLeft w:val="0"/>
          <w:marRight w:val="0"/>
          <w:marTop w:val="0"/>
          <w:marBottom w:val="0"/>
          <w:divBdr>
            <w:top w:val="none" w:sz="0" w:space="0" w:color="auto"/>
            <w:left w:val="none" w:sz="0" w:space="0" w:color="auto"/>
            <w:bottom w:val="none" w:sz="0" w:space="0" w:color="auto"/>
            <w:right w:val="none" w:sz="0" w:space="0" w:color="auto"/>
          </w:divBdr>
        </w:div>
        <w:div w:id="837697246">
          <w:marLeft w:val="0"/>
          <w:marRight w:val="0"/>
          <w:marTop w:val="0"/>
          <w:marBottom w:val="0"/>
          <w:divBdr>
            <w:top w:val="none" w:sz="0" w:space="0" w:color="auto"/>
            <w:left w:val="none" w:sz="0" w:space="0" w:color="auto"/>
            <w:bottom w:val="none" w:sz="0" w:space="0" w:color="auto"/>
            <w:right w:val="none" w:sz="0" w:space="0" w:color="auto"/>
          </w:divBdr>
        </w:div>
        <w:div w:id="986737423">
          <w:marLeft w:val="0"/>
          <w:marRight w:val="0"/>
          <w:marTop w:val="0"/>
          <w:marBottom w:val="0"/>
          <w:divBdr>
            <w:top w:val="none" w:sz="0" w:space="0" w:color="auto"/>
            <w:left w:val="none" w:sz="0" w:space="0" w:color="auto"/>
            <w:bottom w:val="none" w:sz="0" w:space="0" w:color="auto"/>
            <w:right w:val="none" w:sz="0" w:space="0" w:color="auto"/>
          </w:divBdr>
        </w:div>
        <w:div w:id="1307277382">
          <w:marLeft w:val="0"/>
          <w:marRight w:val="0"/>
          <w:marTop w:val="0"/>
          <w:marBottom w:val="0"/>
          <w:divBdr>
            <w:top w:val="none" w:sz="0" w:space="0" w:color="auto"/>
            <w:left w:val="none" w:sz="0" w:space="0" w:color="auto"/>
            <w:bottom w:val="none" w:sz="0" w:space="0" w:color="auto"/>
            <w:right w:val="none" w:sz="0" w:space="0" w:color="auto"/>
          </w:divBdr>
        </w:div>
        <w:div w:id="1403796811">
          <w:marLeft w:val="0"/>
          <w:marRight w:val="0"/>
          <w:marTop w:val="0"/>
          <w:marBottom w:val="0"/>
          <w:divBdr>
            <w:top w:val="none" w:sz="0" w:space="0" w:color="auto"/>
            <w:left w:val="none" w:sz="0" w:space="0" w:color="auto"/>
            <w:bottom w:val="none" w:sz="0" w:space="0" w:color="auto"/>
            <w:right w:val="none" w:sz="0" w:space="0" w:color="auto"/>
          </w:divBdr>
        </w:div>
        <w:div w:id="1504125508">
          <w:marLeft w:val="0"/>
          <w:marRight w:val="0"/>
          <w:marTop w:val="0"/>
          <w:marBottom w:val="0"/>
          <w:divBdr>
            <w:top w:val="none" w:sz="0" w:space="0" w:color="auto"/>
            <w:left w:val="none" w:sz="0" w:space="0" w:color="auto"/>
            <w:bottom w:val="none" w:sz="0" w:space="0" w:color="auto"/>
            <w:right w:val="none" w:sz="0" w:space="0" w:color="auto"/>
          </w:divBdr>
        </w:div>
        <w:div w:id="1923178504">
          <w:marLeft w:val="0"/>
          <w:marRight w:val="0"/>
          <w:marTop w:val="0"/>
          <w:marBottom w:val="0"/>
          <w:divBdr>
            <w:top w:val="none" w:sz="0" w:space="0" w:color="auto"/>
            <w:left w:val="none" w:sz="0" w:space="0" w:color="auto"/>
            <w:bottom w:val="none" w:sz="0" w:space="0" w:color="auto"/>
            <w:right w:val="none" w:sz="0" w:space="0" w:color="auto"/>
          </w:divBdr>
        </w:div>
        <w:div w:id="1951549505">
          <w:marLeft w:val="0"/>
          <w:marRight w:val="0"/>
          <w:marTop w:val="0"/>
          <w:marBottom w:val="0"/>
          <w:divBdr>
            <w:top w:val="none" w:sz="0" w:space="0" w:color="auto"/>
            <w:left w:val="none" w:sz="0" w:space="0" w:color="auto"/>
            <w:bottom w:val="none" w:sz="0" w:space="0" w:color="auto"/>
            <w:right w:val="none" w:sz="0" w:space="0" w:color="auto"/>
          </w:divBdr>
        </w:div>
        <w:div w:id="2068064195">
          <w:marLeft w:val="0"/>
          <w:marRight w:val="0"/>
          <w:marTop w:val="0"/>
          <w:marBottom w:val="0"/>
          <w:divBdr>
            <w:top w:val="none" w:sz="0" w:space="0" w:color="auto"/>
            <w:left w:val="none" w:sz="0" w:space="0" w:color="auto"/>
            <w:bottom w:val="none" w:sz="0" w:space="0" w:color="auto"/>
            <w:right w:val="none" w:sz="0" w:space="0" w:color="auto"/>
          </w:divBdr>
        </w:div>
        <w:div w:id="2073115932">
          <w:marLeft w:val="0"/>
          <w:marRight w:val="0"/>
          <w:marTop w:val="0"/>
          <w:marBottom w:val="0"/>
          <w:divBdr>
            <w:top w:val="none" w:sz="0" w:space="0" w:color="auto"/>
            <w:left w:val="none" w:sz="0" w:space="0" w:color="auto"/>
            <w:bottom w:val="none" w:sz="0" w:space="0" w:color="auto"/>
            <w:right w:val="none" w:sz="0" w:space="0" w:color="auto"/>
          </w:divBdr>
        </w:div>
        <w:div w:id="2144348263">
          <w:marLeft w:val="0"/>
          <w:marRight w:val="0"/>
          <w:marTop w:val="0"/>
          <w:marBottom w:val="0"/>
          <w:divBdr>
            <w:top w:val="none" w:sz="0" w:space="0" w:color="auto"/>
            <w:left w:val="none" w:sz="0" w:space="0" w:color="auto"/>
            <w:bottom w:val="none" w:sz="0" w:space="0" w:color="auto"/>
            <w:right w:val="none" w:sz="0" w:space="0" w:color="auto"/>
          </w:divBdr>
        </w:div>
      </w:divsChild>
    </w:div>
    <w:div w:id="1215122086">
      <w:bodyDiv w:val="1"/>
      <w:marLeft w:val="0"/>
      <w:marRight w:val="0"/>
      <w:marTop w:val="0"/>
      <w:marBottom w:val="0"/>
      <w:divBdr>
        <w:top w:val="none" w:sz="0" w:space="0" w:color="auto"/>
        <w:left w:val="none" w:sz="0" w:space="0" w:color="auto"/>
        <w:bottom w:val="none" w:sz="0" w:space="0" w:color="auto"/>
        <w:right w:val="none" w:sz="0" w:space="0" w:color="auto"/>
      </w:divBdr>
    </w:div>
    <w:div w:id="1222672161">
      <w:bodyDiv w:val="1"/>
      <w:marLeft w:val="0"/>
      <w:marRight w:val="0"/>
      <w:marTop w:val="0"/>
      <w:marBottom w:val="0"/>
      <w:divBdr>
        <w:top w:val="none" w:sz="0" w:space="0" w:color="auto"/>
        <w:left w:val="none" w:sz="0" w:space="0" w:color="auto"/>
        <w:bottom w:val="none" w:sz="0" w:space="0" w:color="auto"/>
        <w:right w:val="none" w:sz="0" w:space="0" w:color="auto"/>
      </w:divBdr>
    </w:div>
    <w:div w:id="1250970739">
      <w:bodyDiv w:val="1"/>
      <w:marLeft w:val="0"/>
      <w:marRight w:val="0"/>
      <w:marTop w:val="0"/>
      <w:marBottom w:val="0"/>
      <w:divBdr>
        <w:top w:val="none" w:sz="0" w:space="0" w:color="auto"/>
        <w:left w:val="none" w:sz="0" w:space="0" w:color="auto"/>
        <w:bottom w:val="none" w:sz="0" w:space="0" w:color="auto"/>
        <w:right w:val="none" w:sz="0" w:space="0" w:color="auto"/>
      </w:divBdr>
    </w:div>
    <w:div w:id="1276055518">
      <w:bodyDiv w:val="1"/>
      <w:marLeft w:val="0"/>
      <w:marRight w:val="0"/>
      <w:marTop w:val="0"/>
      <w:marBottom w:val="0"/>
      <w:divBdr>
        <w:top w:val="none" w:sz="0" w:space="0" w:color="auto"/>
        <w:left w:val="none" w:sz="0" w:space="0" w:color="auto"/>
        <w:bottom w:val="none" w:sz="0" w:space="0" w:color="auto"/>
        <w:right w:val="none" w:sz="0" w:space="0" w:color="auto"/>
      </w:divBdr>
    </w:div>
    <w:div w:id="1395087744">
      <w:bodyDiv w:val="1"/>
      <w:marLeft w:val="0"/>
      <w:marRight w:val="0"/>
      <w:marTop w:val="0"/>
      <w:marBottom w:val="0"/>
      <w:divBdr>
        <w:top w:val="none" w:sz="0" w:space="0" w:color="auto"/>
        <w:left w:val="none" w:sz="0" w:space="0" w:color="auto"/>
        <w:bottom w:val="none" w:sz="0" w:space="0" w:color="auto"/>
        <w:right w:val="none" w:sz="0" w:space="0" w:color="auto"/>
      </w:divBdr>
      <w:divsChild>
        <w:div w:id="723259825">
          <w:marLeft w:val="75"/>
          <w:marRight w:val="0"/>
          <w:marTop w:val="0"/>
          <w:marBottom w:val="0"/>
          <w:divBdr>
            <w:top w:val="none" w:sz="0" w:space="0" w:color="auto"/>
            <w:left w:val="none" w:sz="0" w:space="0" w:color="auto"/>
            <w:bottom w:val="none" w:sz="0" w:space="0" w:color="auto"/>
            <w:right w:val="none" w:sz="0" w:space="0" w:color="auto"/>
          </w:divBdr>
          <w:divsChild>
            <w:div w:id="1753576110">
              <w:marLeft w:val="0"/>
              <w:marRight w:val="0"/>
              <w:marTop w:val="0"/>
              <w:marBottom w:val="0"/>
              <w:divBdr>
                <w:top w:val="none" w:sz="0" w:space="0" w:color="auto"/>
                <w:left w:val="none" w:sz="0" w:space="0" w:color="auto"/>
                <w:bottom w:val="none" w:sz="0" w:space="0" w:color="auto"/>
                <w:right w:val="none" w:sz="0" w:space="0" w:color="auto"/>
              </w:divBdr>
              <w:divsChild>
                <w:div w:id="187917785">
                  <w:marLeft w:val="0"/>
                  <w:marRight w:val="0"/>
                  <w:marTop w:val="0"/>
                  <w:marBottom w:val="0"/>
                  <w:divBdr>
                    <w:top w:val="none" w:sz="0" w:space="0" w:color="auto"/>
                    <w:left w:val="none" w:sz="0" w:space="0" w:color="auto"/>
                    <w:bottom w:val="none" w:sz="0" w:space="0" w:color="auto"/>
                    <w:right w:val="none" w:sz="0" w:space="0" w:color="auto"/>
                  </w:divBdr>
                  <w:divsChild>
                    <w:div w:id="1252468686">
                      <w:marLeft w:val="0"/>
                      <w:marRight w:val="0"/>
                      <w:marTop w:val="0"/>
                      <w:marBottom w:val="0"/>
                      <w:divBdr>
                        <w:top w:val="none" w:sz="0" w:space="0" w:color="auto"/>
                        <w:left w:val="none" w:sz="0" w:space="0" w:color="auto"/>
                        <w:bottom w:val="none" w:sz="0" w:space="0" w:color="auto"/>
                        <w:right w:val="none" w:sz="0" w:space="0" w:color="auto"/>
                      </w:divBdr>
                      <w:divsChild>
                        <w:div w:id="323583267">
                          <w:marLeft w:val="0"/>
                          <w:marRight w:val="0"/>
                          <w:marTop w:val="0"/>
                          <w:marBottom w:val="0"/>
                          <w:divBdr>
                            <w:top w:val="none" w:sz="0" w:space="0" w:color="auto"/>
                            <w:left w:val="none" w:sz="0" w:space="0" w:color="auto"/>
                            <w:bottom w:val="none" w:sz="0" w:space="0" w:color="auto"/>
                            <w:right w:val="none" w:sz="0" w:space="0" w:color="auto"/>
                          </w:divBdr>
                          <w:divsChild>
                            <w:div w:id="5631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986614">
      <w:bodyDiv w:val="1"/>
      <w:marLeft w:val="0"/>
      <w:marRight w:val="0"/>
      <w:marTop w:val="0"/>
      <w:marBottom w:val="0"/>
      <w:divBdr>
        <w:top w:val="none" w:sz="0" w:space="0" w:color="auto"/>
        <w:left w:val="none" w:sz="0" w:space="0" w:color="auto"/>
        <w:bottom w:val="none" w:sz="0" w:space="0" w:color="auto"/>
        <w:right w:val="none" w:sz="0" w:space="0" w:color="auto"/>
      </w:divBdr>
    </w:div>
    <w:div w:id="1510371508">
      <w:bodyDiv w:val="1"/>
      <w:marLeft w:val="0"/>
      <w:marRight w:val="0"/>
      <w:marTop w:val="0"/>
      <w:marBottom w:val="0"/>
      <w:divBdr>
        <w:top w:val="none" w:sz="0" w:space="0" w:color="auto"/>
        <w:left w:val="none" w:sz="0" w:space="0" w:color="auto"/>
        <w:bottom w:val="none" w:sz="0" w:space="0" w:color="auto"/>
        <w:right w:val="none" w:sz="0" w:space="0" w:color="auto"/>
      </w:divBdr>
    </w:div>
    <w:div w:id="1526675446">
      <w:bodyDiv w:val="1"/>
      <w:marLeft w:val="0"/>
      <w:marRight w:val="0"/>
      <w:marTop w:val="0"/>
      <w:marBottom w:val="0"/>
      <w:divBdr>
        <w:top w:val="none" w:sz="0" w:space="0" w:color="auto"/>
        <w:left w:val="none" w:sz="0" w:space="0" w:color="auto"/>
        <w:bottom w:val="none" w:sz="0" w:space="0" w:color="auto"/>
        <w:right w:val="none" w:sz="0" w:space="0" w:color="auto"/>
      </w:divBdr>
    </w:div>
    <w:div w:id="1550921287">
      <w:bodyDiv w:val="1"/>
      <w:marLeft w:val="0"/>
      <w:marRight w:val="0"/>
      <w:marTop w:val="0"/>
      <w:marBottom w:val="0"/>
      <w:divBdr>
        <w:top w:val="none" w:sz="0" w:space="0" w:color="auto"/>
        <w:left w:val="none" w:sz="0" w:space="0" w:color="auto"/>
        <w:bottom w:val="none" w:sz="0" w:space="0" w:color="auto"/>
        <w:right w:val="none" w:sz="0" w:space="0" w:color="auto"/>
      </w:divBdr>
    </w:div>
    <w:div w:id="1589541521">
      <w:bodyDiv w:val="1"/>
      <w:marLeft w:val="0"/>
      <w:marRight w:val="0"/>
      <w:marTop w:val="0"/>
      <w:marBottom w:val="0"/>
      <w:divBdr>
        <w:top w:val="none" w:sz="0" w:space="0" w:color="auto"/>
        <w:left w:val="none" w:sz="0" w:space="0" w:color="auto"/>
        <w:bottom w:val="none" w:sz="0" w:space="0" w:color="auto"/>
        <w:right w:val="none" w:sz="0" w:space="0" w:color="auto"/>
      </w:divBdr>
    </w:div>
    <w:div w:id="1595170759">
      <w:bodyDiv w:val="1"/>
      <w:marLeft w:val="0"/>
      <w:marRight w:val="0"/>
      <w:marTop w:val="0"/>
      <w:marBottom w:val="0"/>
      <w:divBdr>
        <w:top w:val="none" w:sz="0" w:space="0" w:color="auto"/>
        <w:left w:val="none" w:sz="0" w:space="0" w:color="auto"/>
        <w:bottom w:val="none" w:sz="0" w:space="0" w:color="auto"/>
        <w:right w:val="none" w:sz="0" w:space="0" w:color="auto"/>
      </w:divBdr>
      <w:divsChild>
        <w:div w:id="723674722">
          <w:marLeft w:val="0"/>
          <w:marRight w:val="0"/>
          <w:marTop w:val="100"/>
          <w:marBottom w:val="100"/>
          <w:divBdr>
            <w:top w:val="none" w:sz="0" w:space="0" w:color="auto"/>
            <w:left w:val="none" w:sz="0" w:space="0" w:color="auto"/>
            <w:bottom w:val="none" w:sz="0" w:space="0" w:color="auto"/>
            <w:right w:val="none" w:sz="0" w:space="0" w:color="auto"/>
          </w:divBdr>
          <w:divsChild>
            <w:div w:id="200843989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611008226">
      <w:bodyDiv w:val="1"/>
      <w:marLeft w:val="0"/>
      <w:marRight w:val="0"/>
      <w:marTop w:val="0"/>
      <w:marBottom w:val="0"/>
      <w:divBdr>
        <w:top w:val="none" w:sz="0" w:space="0" w:color="auto"/>
        <w:left w:val="none" w:sz="0" w:space="0" w:color="auto"/>
        <w:bottom w:val="none" w:sz="0" w:space="0" w:color="auto"/>
        <w:right w:val="none" w:sz="0" w:space="0" w:color="auto"/>
      </w:divBdr>
      <w:divsChild>
        <w:div w:id="155388938">
          <w:marLeft w:val="75"/>
          <w:marRight w:val="0"/>
          <w:marTop w:val="0"/>
          <w:marBottom w:val="0"/>
          <w:divBdr>
            <w:top w:val="none" w:sz="0" w:space="0" w:color="auto"/>
            <w:left w:val="none" w:sz="0" w:space="0" w:color="auto"/>
            <w:bottom w:val="none" w:sz="0" w:space="0" w:color="auto"/>
            <w:right w:val="none" w:sz="0" w:space="0" w:color="auto"/>
          </w:divBdr>
          <w:divsChild>
            <w:div w:id="777799578">
              <w:marLeft w:val="0"/>
              <w:marRight w:val="0"/>
              <w:marTop w:val="0"/>
              <w:marBottom w:val="0"/>
              <w:divBdr>
                <w:top w:val="none" w:sz="0" w:space="0" w:color="auto"/>
                <w:left w:val="none" w:sz="0" w:space="0" w:color="auto"/>
                <w:bottom w:val="none" w:sz="0" w:space="0" w:color="auto"/>
                <w:right w:val="none" w:sz="0" w:space="0" w:color="auto"/>
              </w:divBdr>
              <w:divsChild>
                <w:div w:id="1968968626">
                  <w:marLeft w:val="0"/>
                  <w:marRight w:val="0"/>
                  <w:marTop w:val="0"/>
                  <w:marBottom w:val="0"/>
                  <w:divBdr>
                    <w:top w:val="none" w:sz="0" w:space="0" w:color="auto"/>
                    <w:left w:val="none" w:sz="0" w:space="0" w:color="auto"/>
                    <w:bottom w:val="none" w:sz="0" w:space="0" w:color="auto"/>
                    <w:right w:val="none" w:sz="0" w:space="0" w:color="auto"/>
                  </w:divBdr>
                  <w:divsChild>
                    <w:div w:id="357001199">
                      <w:marLeft w:val="0"/>
                      <w:marRight w:val="0"/>
                      <w:marTop w:val="0"/>
                      <w:marBottom w:val="0"/>
                      <w:divBdr>
                        <w:top w:val="none" w:sz="0" w:space="0" w:color="auto"/>
                        <w:left w:val="none" w:sz="0" w:space="0" w:color="auto"/>
                        <w:bottom w:val="none" w:sz="0" w:space="0" w:color="auto"/>
                        <w:right w:val="none" w:sz="0" w:space="0" w:color="auto"/>
                      </w:divBdr>
                      <w:divsChild>
                        <w:div w:id="1419668004">
                          <w:marLeft w:val="0"/>
                          <w:marRight w:val="0"/>
                          <w:marTop w:val="0"/>
                          <w:marBottom w:val="0"/>
                          <w:divBdr>
                            <w:top w:val="none" w:sz="0" w:space="0" w:color="auto"/>
                            <w:left w:val="none" w:sz="0" w:space="0" w:color="auto"/>
                            <w:bottom w:val="none" w:sz="0" w:space="0" w:color="auto"/>
                            <w:right w:val="none" w:sz="0" w:space="0" w:color="auto"/>
                          </w:divBdr>
                          <w:divsChild>
                            <w:div w:id="18471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032502">
      <w:bodyDiv w:val="1"/>
      <w:marLeft w:val="0"/>
      <w:marRight w:val="0"/>
      <w:marTop w:val="0"/>
      <w:marBottom w:val="0"/>
      <w:divBdr>
        <w:top w:val="none" w:sz="0" w:space="0" w:color="auto"/>
        <w:left w:val="none" w:sz="0" w:space="0" w:color="auto"/>
        <w:bottom w:val="none" w:sz="0" w:space="0" w:color="auto"/>
        <w:right w:val="none" w:sz="0" w:space="0" w:color="auto"/>
      </w:divBdr>
    </w:div>
    <w:div w:id="1622107121">
      <w:bodyDiv w:val="1"/>
      <w:marLeft w:val="0"/>
      <w:marRight w:val="0"/>
      <w:marTop w:val="0"/>
      <w:marBottom w:val="0"/>
      <w:divBdr>
        <w:top w:val="none" w:sz="0" w:space="0" w:color="auto"/>
        <w:left w:val="none" w:sz="0" w:space="0" w:color="auto"/>
        <w:bottom w:val="none" w:sz="0" w:space="0" w:color="auto"/>
        <w:right w:val="none" w:sz="0" w:space="0" w:color="auto"/>
      </w:divBdr>
      <w:divsChild>
        <w:div w:id="478546003">
          <w:marLeft w:val="75"/>
          <w:marRight w:val="0"/>
          <w:marTop w:val="0"/>
          <w:marBottom w:val="0"/>
          <w:divBdr>
            <w:top w:val="none" w:sz="0" w:space="0" w:color="auto"/>
            <w:left w:val="none" w:sz="0" w:space="0" w:color="auto"/>
            <w:bottom w:val="none" w:sz="0" w:space="0" w:color="auto"/>
            <w:right w:val="none" w:sz="0" w:space="0" w:color="auto"/>
          </w:divBdr>
          <w:divsChild>
            <w:div w:id="1088841763">
              <w:marLeft w:val="0"/>
              <w:marRight w:val="0"/>
              <w:marTop w:val="0"/>
              <w:marBottom w:val="0"/>
              <w:divBdr>
                <w:top w:val="none" w:sz="0" w:space="0" w:color="auto"/>
                <w:left w:val="none" w:sz="0" w:space="0" w:color="auto"/>
                <w:bottom w:val="none" w:sz="0" w:space="0" w:color="auto"/>
                <w:right w:val="none" w:sz="0" w:space="0" w:color="auto"/>
              </w:divBdr>
              <w:divsChild>
                <w:div w:id="364719259">
                  <w:marLeft w:val="0"/>
                  <w:marRight w:val="0"/>
                  <w:marTop w:val="0"/>
                  <w:marBottom w:val="0"/>
                  <w:divBdr>
                    <w:top w:val="none" w:sz="0" w:space="0" w:color="auto"/>
                    <w:left w:val="none" w:sz="0" w:space="0" w:color="auto"/>
                    <w:bottom w:val="none" w:sz="0" w:space="0" w:color="auto"/>
                    <w:right w:val="none" w:sz="0" w:space="0" w:color="auto"/>
                  </w:divBdr>
                  <w:divsChild>
                    <w:div w:id="893858183">
                      <w:marLeft w:val="0"/>
                      <w:marRight w:val="0"/>
                      <w:marTop w:val="0"/>
                      <w:marBottom w:val="0"/>
                      <w:divBdr>
                        <w:top w:val="none" w:sz="0" w:space="0" w:color="auto"/>
                        <w:left w:val="none" w:sz="0" w:space="0" w:color="auto"/>
                        <w:bottom w:val="none" w:sz="0" w:space="0" w:color="auto"/>
                        <w:right w:val="none" w:sz="0" w:space="0" w:color="auto"/>
                      </w:divBdr>
                      <w:divsChild>
                        <w:div w:id="1385370139">
                          <w:marLeft w:val="0"/>
                          <w:marRight w:val="0"/>
                          <w:marTop w:val="0"/>
                          <w:marBottom w:val="0"/>
                          <w:divBdr>
                            <w:top w:val="none" w:sz="0" w:space="0" w:color="auto"/>
                            <w:left w:val="none" w:sz="0" w:space="0" w:color="auto"/>
                            <w:bottom w:val="none" w:sz="0" w:space="0" w:color="auto"/>
                            <w:right w:val="none" w:sz="0" w:space="0" w:color="auto"/>
                          </w:divBdr>
                          <w:divsChild>
                            <w:div w:id="878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826188">
      <w:bodyDiv w:val="1"/>
      <w:marLeft w:val="0"/>
      <w:marRight w:val="0"/>
      <w:marTop w:val="0"/>
      <w:marBottom w:val="0"/>
      <w:divBdr>
        <w:top w:val="none" w:sz="0" w:space="0" w:color="auto"/>
        <w:left w:val="none" w:sz="0" w:space="0" w:color="auto"/>
        <w:bottom w:val="none" w:sz="0" w:space="0" w:color="auto"/>
        <w:right w:val="none" w:sz="0" w:space="0" w:color="auto"/>
      </w:divBdr>
      <w:divsChild>
        <w:div w:id="875503908">
          <w:marLeft w:val="75"/>
          <w:marRight w:val="0"/>
          <w:marTop w:val="0"/>
          <w:marBottom w:val="0"/>
          <w:divBdr>
            <w:top w:val="none" w:sz="0" w:space="0" w:color="auto"/>
            <w:left w:val="none" w:sz="0" w:space="0" w:color="auto"/>
            <w:bottom w:val="none" w:sz="0" w:space="0" w:color="auto"/>
            <w:right w:val="none" w:sz="0" w:space="0" w:color="auto"/>
          </w:divBdr>
          <w:divsChild>
            <w:div w:id="530923185">
              <w:marLeft w:val="0"/>
              <w:marRight w:val="0"/>
              <w:marTop w:val="0"/>
              <w:marBottom w:val="0"/>
              <w:divBdr>
                <w:top w:val="none" w:sz="0" w:space="0" w:color="auto"/>
                <w:left w:val="none" w:sz="0" w:space="0" w:color="auto"/>
                <w:bottom w:val="none" w:sz="0" w:space="0" w:color="auto"/>
                <w:right w:val="none" w:sz="0" w:space="0" w:color="auto"/>
              </w:divBdr>
              <w:divsChild>
                <w:div w:id="1763453866">
                  <w:marLeft w:val="0"/>
                  <w:marRight w:val="0"/>
                  <w:marTop w:val="0"/>
                  <w:marBottom w:val="0"/>
                  <w:divBdr>
                    <w:top w:val="none" w:sz="0" w:space="0" w:color="auto"/>
                    <w:left w:val="none" w:sz="0" w:space="0" w:color="auto"/>
                    <w:bottom w:val="none" w:sz="0" w:space="0" w:color="auto"/>
                    <w:right w:val="none" w:sz="0" w:space="0" w:color="auto"/>
                  </w:divBdr>
                  <w:divsChild>
                    <w:div w:id="102189357">
                      <w:marLeft w:val="0"/>
                      <w:marRight w:val="0"/>
                      <w:marTop w:val="0"/>
                      <w:marBottom w:val="0"/>
                      <w:divBdr>
                        <w:top w:val="none" w:sz="0" w:space="0" w:color="auto"/>
                        <w:left w:val="none" w:sz="0" w:space="0" w:color="auto"/>
                        <w:bottom w:val="none" w:sz="0" w:space="0" w:color="auto"/>
                        <w:right w:val="none" w:sz="0" w:space="0" w:color="auto"/>
                      </w:divBdr>
                      <w:divsChild>
                        <w:div w:id="2124835537">
                          <w:marLeft w:val="0"/>
                          <w:marRight w:val="0"/>
                          <w:marTop w:val="0"/>
                          <w:marBottom w:val="0"/>
                          <w:divBdr>
                            <w:top w:val="none" w:sz="0" w:space="0" w:color="auto"/>
                            <w:left w:val="none" w:sz="0" w:space="0" w:color="auto"/>
                            <w:bottom w:val="none" w:sz="0" w:space="0" w:color="auto"/>
                            <w:right w:val="none" w:sz="0" w:space="0" w:color="auto"/>
                          </w:divBdr>
                          <w:divsChild>
                            <w:div w:id="1407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6407">
      <w:bodyDiv w:val="1"/>
      <w:marLeft w:val="0"/>
      <w:marRight w:val="0"/>
      <w:marTop w:val="0"/>
      <w:marBottom w:val="0"/>
      <w:divBdr>
        <w:top w:val="none" w:sz="0" w:space="0" w:color="auto"/>
        <w:left w:val="none" w:sz="0" w:space="0" w:color="auto"/>
        <w:bottom w:val="none" w:sz="0" w:space="0" w:color="auto"/>
        <w:right w:val="none" w:sz="0" w:space="0" w:color="auto"/>
      </w:divBdr>
      <w:divsChild>
        <w:div w:id="1439984403">
          <w:marLeft w:val="75"/>
          <w:marRight w:val="0"/>
          <w:marTop w:val="0"/>
          <w:marBottom w:val="0"/>
          <w:divBdr>
            <w:top w:val="none" w:sz="0" w:space="0" w:color="auto"/>
            <w:left w:val="none" w:sz="0" w:space="0" w:color="auto"/>
            <w:bottom w:val="none" w:sz="0" w:space="0" w:color="auto"/>
            <w:right w:val="none" w:sz="0" w:space="0" w:color="auto"/>
          </w:divBdr>
          <w:divsChild>
            <w:div w:id="1637032444">
              <w:marLeft w:val="0"/>
              <w:marRight w:val="0"/>
              <w:marTop w:val="0"/>
              <w:marBottom w:val="0"/>
              <w:divBdr>
                <w:top w:val="none" w:sz="0" w:space="0" w:color="auto"/>
                <w:left w:val="none" w:sz="0" w:space="0" w:color="auto"/>
                <w:bottom w:val="none" w:sz="0" w:space="0" w:color="auto"/>
                <w:right w:val="none" w:sz="0" w:space="0" w:color="auto"/>
              </w:divBdr>
              <w:divsChild>
                <w:div w:id="2130126997">
                  <w:marLeft w:val="0"/>
                  <w:marRight w:val="0"/>
                  <w:marTop w:val="0"/>
                  <w:marBottom w:val="0"/>
                  <w:divBdr>
                    <w:top w:val="none" w:sz="0" w:space="0" w:color="auto"/>
                    <w:left w:val="none" w:sz="0" w:space="0" w:color="auto"/>
                    <w:bottom w:val="none" w:sz="0" w:space="0" w:color="auto"/>
                    <w:right w:val="none" w:sz="0" w:space="0" w:color="auto"/>
                  </w:divBdr>
                  <w:divsChild>
                    <w:div w:id="695885871">
                      <w:marLeft w:val="0"/>
                      <w:marRight w:val="0"/>
                      <w:marTop w:val="0"/>
                      <w:marBottom w:val="0"/>
                      <w:divBdr>
                        <w:top w:val="none" w:sz="0" w:space="0" w:color="auto"/>
                        <w:left w:val="none" w:sz="0" w:space="0" w:color="auto"/>
                        <w:bottom w:val="none" w:sz="0" w:space="0" w:color="auto"/>
                        <w:right w:val="none" w:sz="0" w:space="0" w:color="auto"/>
                      </w:divBdr>
                      <w:divsChild>
                        <w:div w:id="102380699">
                          <w:marLeft w:val="0"/>
                          <w:marRight w:val="0"/>
                          <w:marTop w:val="0"/>
                          <w:marBottom w:val="0"/>
                          <w:divBdr>
                            <w:top w:val="none" w:sz="0" w:space="0" w:color="auto"/>
                            <w:left w:val="none" w:sz="0" w:space="0" w:color="auto"/>
                            <w:bottom w:val="none" w:sz="0" w:space="0" w:color="auto"/>
                            <w:right w:val="none" w:sz="0" w:space="0" w:color="auto"/>
                          </w:divBdr>
                          <w:divsChild>
                            <w:div w:id="5843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887881">
      <w:bodyDiv w:val="1"/>
      <w:marLeft w:val="0"/>
      <w:marRight w:val="0"/>
      <w:marTop w:val="0"/>
      <w:marBottom w:val="0"/>
      <w:divBdr>
        <w:top w:val="none" w:sz="0" w:space="0" w:color="auto"/>
        <w:left w:val="none" w:sz="0" w:space="0" w:color="auto"/>
        <w:bottom w:val="none" w:sz="0" w:space="0" w:color="auto"/>
        <w:right w:val="none" w:sz="0" w:space="0" w:color="auto"/>
      </w:divBdr>
      <w:divsChild>
        <w:div w:id="1347515977">
          <w:marLeft w:val="75"/>
          <w:marRight w:val="0"/>
          <w:marTop w:val="0"/>
          <w:marBottom w:val="0"/>
          <w:divBdr>
            <w:top w:val="none" w:sz="0" w:space="0" w:color="auto"/>
            <w:left w:val="none" w:sz="0" w:space="0" w:color="auto"/>
            <w:bottom w:val="none" w:sz="0" w:space="0" w:color="auto"/>
            <w:right w:val="none" w:sz="0" w:space="0" w:color="auto"/>
          </w:divBdr>
          <w:divsChild>
            <w:div w:id="1755971609">
              <w:marLeft w:val="0"/>
              <w:marRight w:val="0"/>
              <w:marTop w:val="0"/>
              <w:marBottom w:val="0"/>
              <w:divBdr>
                <w:top w:val="none" w:sz="0" w:space="0" w:color="auto"/>
                <w:left w:val="none" w:sz="0" w:space="0" w:color="auto"/>
                <w:bottom w:val="none" w:sz="0" w:space="0" w:color="auto"/>
                <w:right w:val="none" w:sz="0" w:space="0" w:color="auto"/>
              </w:divBdr>
              <w:divsChild>
                <w:div w:id="586157773">
                  <w:marLeft w:val="0"/>
                  <w:marRight w:val="0"/>
                  <w:marTop w:val="0"/>
                  <w:marBottom w:val="0"/>
                  <w:divBdr>
                    <w:top w:val="none" w:sz="0" w:space="0" w:color="auto"/>
                    <w:left w:val="none" w:sz="0" w:space="0" w:color="auto"/>
                    <w:bottom w:val="none" w:sz="0" w:space="0" w:color="auto"/>
                    <w:right w:val="none" w:sz="0" w:space="0" w:color="auto"/>
                  </w:divBdr>
                  <w:divsChild>
                    <w:div w:id="1702825185">
                      <w:marLeft w:val="0"/>
                      <w:marRight w:val="0"/>
                      <w:marTop w:val="0"/>
                      <w:marBottom w:val="0"/>
                      <w:divBdr>
                        <w:top w:val="none" w:sz="0" w:space="0" w:color="auto"/>
                        <w:left w:val="none" w:sz="0" w:space="0" w:color="auto"/>
                        <w:bottom w:val="none" w:sz="0" w:space="0" w:color="auto"/>
                        <w:right w:val="none" w:sz="0" w:space="0" w:color="auto"/>
                      </w:divBdr>
                      <w:divsChild>
                        <w:div w:id="652830490">
                          <w:marLeft w:val="0"/>
                          <w:marRight w:val="0"/>
                          <w:marTop w:val="0"/>
                          <w:marBottom w:val="0"/>
                          <w:divBdr>
                            <w:top w:val="none" w:sz="0" w:space="0" w:color="auto"/>
                            <w:left w:val="none" w:sz="0" w:space="0" w:color="auto"/>
                            <w:bottom w:val="none" w:sz="0" w:space="0" w:color="auto"/>
                            <w:right w:val="none" w:sz="0" w:space="0" w:color="auto"/>
                          </w:divBdr>
                          <w:divsChild>
                            <w:div w:id="7335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88611">
      <w:bodyDiv w:val="1"/>
      <w:marLeft w:val="0"/>
      <w:marRight w:val="0"/>
      <w:marTop w:val="0"/>
      <w:marBottom w:val="0"/>
      <w:divBdr>
        <w:top w:val="none" w:sz="0" w:space="0" w:color="auto"/>
        <w:left w:val="none" w:sz="0" w:space="0" w:color="auto"/>
        <w:bottom w:val="none" w:sz="0" w:space="0" w:color="auto"/>
        <w:right w:val="none" w:sz="0" w:space="0" w:color="auto"/>
      </w:divBdr>
      <w:divsChild>
        <w:div w:id="1589996110">
          <w:marLeft w:val="0"/>
          <w:marRight w:val="0"/>
          <w:marTop w:val="0"/>
          <w:marBottom w:val="0"/>
          <w:divBdr>
            <w:top w:val="none" w:sz="0" w:space="0" w:color="auto"/>
            <w:left w:val="none" w:sz="0" w:space="0" w:color="auto"/>
            <w:bottom w:val="none" w:sz="0" w:space="0" w:color="auto"/>
            <w:right w:val="none" w:sz="0" w:space="0" w:color="auto"/>
          </w:divBdr>
          <w:divsChild>
            <w:div w:id="861287200">
              <w:marLeft w:val="0"/>
              <w:marRight w:val="0"/>
              <w:marTop w:val="0"/>
              <w:marBottom w:val="0"/>
              <w:divBdr>
                <w:top w:val="none" w:sz="0" w:space="0" w:color="auto"/>
                <w:left w:val="none" w:sz="0" w:space="0" w:color="auto"/>
                <w:bottom w:val="none" w:sz="0" w:space="0" w:color="auto"/>
                <w:right w:val="none" w:sz="0" w:space="0" w:color="auto"/>
              </w:divBdr>
              <w:divsChild>
                <w:div w:id="1084492498">
                  <w:marLeft w:val="0"/>
                  <w:marRight w:val="0"/>
                  <w:marTop w:val="0"/>
                  <w:marBottom w:val="0"/>
                  <w:divBdr>
                    <w:top w:val="none" w:sz="0" w:space="0" w:color="auto"/>
                    <w:left w:val="none" w:sz="0" w:space="0" w:color="auto"/>
                    <w:bottom w:val="none" w:sz="0" w:space="0" w:color="auto"/>
                    <w:right w:val="none" w:sz="0" w:space="0" w:color="auto"/>
                  </w:divBdr>
                  <w:divsChild>
                    <w:div w:id="1056199000">
                      <w:marLeft w:val="0"/>
                      <w:marRight w:val="0"/>
                      <w:marTop w:val="0"/>
                      <w:marBottom w:val="0"/>
                      <w:divBdr>
                        <w:top w:val="single" w:sz="2" w:space="0" w:color="DFD0B9"/>
                        <w:left w:val="none" w:sz="0" w:space="0" w:color="auto"/>
                        <w:bottom w:val="none" w:sz="0" w:space="0" w:color="auto"/>
                        <w:right w:val="none" w:sz="0" w:space="0" w:color="auto"/>
                      </w:divBdr>
                    </w:div>
                  </w:divsChild>
                </w:div>
              </w:divsChild>
            </w:div>
          </w:divsChild>
        </w:div>
      </w:divsChild>
    </w:div>
    <w:div w:id="1853959271">
      <w:bodyDiv w:val="1"/>
      <w:marLeft w:val="0"/>
      <w:marRight w:val="0"/>
      <w:marTop w:val="0"/>
      <w:marBottom w:val="0"/>
      <w:divBdr>
        <w:top w:val="none" w:sz="0" w:space="0" w:color="auto"/>
        <w:left w:val="none" w:sz="0" w:space="0" w:color="auto"/>
        <w:bottom w:val="none" w:sz="0" w:space="0" w:color="auto"/>
        <w:right w:val="none" w:sz="0" w:space="0" w:color="auto"/>
      </w:divBdr>
    </w:div>
    <w:div w:id="1861160680">
      <w:bodyDiv w:val="1"/>
      <w:marLeft w:val="0"/>
      <w:marRight w:val="0"/>
      <w:marTop w:val="0"/>
      <w:marBottom w:val="0"/>
      <w:divBdr>
        <w:top w:val="none" w:sz="0" w:space="0" w:color="auto"/>
        <w:left w:val="none" w:sz="0" w:space="0" w:color="auto"/>
        <w:bottom w:val="none" w:sz="0" w:space="0" w:color="auto"/>
        <w:right w:val="none" w:sz="0" w:space="0" w:color="auto"/>
      </w:divBdr>
      <w:divsChild>
        <w:div w:id="183398254">
          <w:marLeft w:val="0"/>
          <w:marRight w:val="0"/>
          <w:marTop w:val="0"/>
          <w:marBottom w:val="0"/>
          <w:divBdr>
            <w:top w:val="none" w:sz="0" w:space="0" w:color="auto"/>
            <w:left w:val="none" w:sz="0" w:space="0" w:color="auto"/>
            <w:bottom w:val="none" w:sz="0" w:space="0" w:color="auto"/>
            <w:right w:val="none" w:sz="0" w:space="0" w:color="auto"/>
          </w:divBdr>
          <w:divsChild>
            <w:div w:id="724059895">
              <w:marLeft w:val="0"/>
              <w:marRight w:val="0"/>
              <w:marTop w:val="0"/>
              <w:marBottom w:val="0"/>
              <w:divBdr>
                <w:top w:val="none" w:sz="0" w:space="0" w:color="auto"/>
                <w:left w:val="none" w:sz="0" w:space="0" w:color="auto"/>
                <w:bottom w:val="none" w:sz="0" w:space="0" w:color="auto"/>
                <w:right w:val="none" w:sz="0" w:space="0" w:color="auto"/>
              </w:divBdr>
              <w:divsChild>
                <w:div w:id="1843202743">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 w:id="1865901903">
      <w:bodyDiv w:val="1"/>
      <w:marLeft w:val="0"/>
      <w:marRight w:val="0"/>
      <w:marTop w:val="0"/>
      <w:marBottom w:val="0"/>
      <w:divBdr>
        <w:top w:val="none" w:sz="0" w:space="0" w:color="auto"/>
        <w:left w:val="none" w:sz="0" w:space="0" w:color="auto"/>
        <w:bottom w:val="none" w:sz="0" w:space="0" w:color="auto"/>
        <w:right w:val="none" w:sz="0" w:space="0" w:color="auto"/>
      </w:divBdr>
      <w:divsChild>
        <w:div w:id="407506304">
          <w:marLeft w:val="0"/>
          <w:marRight w:val="0"/>
          <w:marTop w:val="0"/>
          <w:marBottom w:val="0"/>
          <w:divBdr>
            <w:top w:val="none" w:sz="0" w:space="0" w:color="auto"/>
            <w:left w:val="none" w:sz="0" w:space="0" w:color="auto"/>
            <w:bottom w:val="none" w:sz="0" w:space="0" w:color="auto"/>
            <w:right w:val="none" w:sz="0" w:space="0" w:color="auto"/>
          </w:divBdr>
          <w:divsChild>
            <w:div w:id="198979032">
              <w:marLeft w:val="0"/>
              <w:marRight w:val="0"/>
              <w:marTop w:val="0"/>
              <w:marBottom w:val="0"/>
              <w:divBdr>
                <w:top w:val="none" w:sz="0" w:space="0" w:color="auto"/>
                <w:left w:val="none" w:sz="0" w:space="0" w:color="auto"/>
                <w:bottom w:val="none" w:sz="0" w:space="0" w:color="auto"/>
                <w:right w:val="none" w:sz="0" w:space="0" w:color="auto"/>
              </w:divBdr>
            </w:div>
            <w:div w:id="518156915">
              <w:marLeft w:val="0"/>
              <w:marRight w:val="0"/>
              <w:marTop w:val="0"/>
              <w:marBottom w:val="0"/>
              <w:divBdr>
                <w:top w:val="none" w:sz="0" w:space="0" w:color="auto"/>
                <w:left w:val="none" w:sz="0" w:space="0" w:color="auto"/>
                <w:bottom w:val="none" w:sz="0" w:space="0" w:color="auto"/>
                <w:right w:val="none" w:sz="0" w:space="0" w:color="auto"/>
              </w:divBdr>
            </w:div>
            <w:div w:id="557981529">
              <w:marLeft w:val="0"/>
              <w:marRight w:val="0"/>
              <w:marTop w:val="0"/>
              <w:marBottom w:val="0"/>
              <w:divBdr>
                <w:top w:val="none" w:sz="0" w:space="0" w:color="auto"/>
                <w:left w:val="none" w:sz="0" w:space="0" w:color="auto"/>
                <w:bottom w:val="none" w:sz="0" w:space="0" w:color="auto"/>
                <w:right w:val="none" w:sz="0" w:space="0" w:color="auto"/>
              </w:divBdr>
              <w:divsChild>
                <w:div w:id="21323842">
                  <w:marLeft w:val="0"/>
                  <w:marRight w:val="0"/>
                  <w:marTop w:val="0"/>
                  <w:marBottom w:val="0"/>
                  <w:divBdr>
                    <w:top w:val="none" w:sz="0" w:space="0" w:color="auto"/>
                    <w:left w:val="none" w:sz="0" w:space="0" w:color="auto"/>
                    <w:bottom w:val="none" w:sz="0" w:space="0" w:color="auto"/>
                    <w:right w:val="none" w:sz="0" w:space="0" w:color="auto"/>
                  </w:divBdr>
                </w:div>
                <w:div w:id="28605377">
                  <w:marLeft w:val="0"/>
                  <w:marRight w:val="0"/>
                  <w:marTop w:val="0"/>
                  <w:marBottom w:val="0"/>
                  <w:divBdr>
                    <w:top w:val="none" w:sz="0" w:space="0" w:color="auto"/>
                    <w:left w:val="none" w:sz="0" w:space="0" w:color="auto"/>
                    <w:bottom w:val="none" w:sz="0" w:space="0" w:color="auto"/>
                    <w:right w:val="none" w:sz="0" w:space="0" w:color="auto"/>
                  </w:divBdr>
                </w:div>
                <w:div w:id="99838492">
                  <w:marLeft w:val="0"/>
                  <w:marRight w:val="0"/>
                  <w:marTop w:val="0"/>
                  <w:marBottom w:val="0"/>
                  <w:divBdr>
                    <w:top w:val="none" w:sz="0" w:space="0" w:color="auto"/>
                    <w:left w:val="none" w:sz="0" w:space="0" w:color="auto"/>
                    <w:bottom w:val="none" w:sz="0" w:space="0" w:color="auto"/>
                    <w:right w:val="none" w:sz="0" w:space="0" w:color="auto"/>
                  </w:divBdr>
                </w:div>
                <w:div w:id="268776757">
                  <w:marLeft w:val="0"/>
                  <w:marRight w:val="0"/>
                  <w:marTop w:val="0"/>
                  <w:marBottom w:val="0"/>
                  <w:divBdr>
                    <w:top w:val="none" w:sz="0" w:space="0" w:color="auto"/>
                    <w:left w:val="none" w:sz="0" w:space="0" w:color="auto"/>
                    <w:bottom w:val="none" w:sz="0" w:space="0" w:color="auto"/>
                    <w:right w:val="none" w:sz="0" w:space="0" w:color="auto"/>
                  </w:divBdr>
                </w:div>
                <w:div w:id="422799216">
                  <w:marLeft w:val="0"/>
                  <w:marRight w:val="0"/>
                  <w:marTop w:val="0"/>
                  <w:marBottom w:val="0"/>
                  <w:divBdr>
                    <w:top w:val="none" w:sz="0" w:space="0" w:color="auto"/>
                    <w:left w:val="none" w:sz="0" w:space="0" w:color="auto"/>
                    <w:bottom w:val="none" w:sz="0" w:space="0" w:color="auto"/>
                    <w:right w:val="none" w:sz="0" w:space="0" w:color="auto"/>
                  </w:divBdr>
                </w:div>
                <w:div w:id="492719990">
                  <w:marLeft w:val="0"/>
                  <w:marRight w:val="0"/>
                  <w:marTop w:val="0"/>
                  <w:marBottom w:val="0"/>
                  <w:divBdr>
                    <w:top w:val="none" w:sz="0" w:space="0" w:color="auto"/>
                    <w:left w:val="none" w:sz="0" w:space="0" w:color="auto"/>
                    <w:bottom w:val="none" w:sz="0" w:space="0" w:color="auto"/>
                    <w:right w:val="none" w:sz="0" w:space="0" w:color="auto"/>
                  </w:divBdr>
                </w:div>
                <w:div w:id="733889832">
                  <w:marLeft w:val="0"/>
                  <w:marRight w:val="0"/>
                  <w:marTop w:val="0"/>
                  <w:marBottom w:val="0"/>
                  <w:divBdr>
                    <w:top w:val="none" w:sz="0" w:space="0" w:color="auto"/>
                    <w:left w:val="none" w:sz="0" w:space="0" w:color="auto"/>
                    <w:bottom w:val="none" w:sz="0" w:space="0" w:color="auto"/>
                    <w:right w:val="none" w:sz="0" w:space="0" w:color="auto"/>
                  </w:divBdr>
                </w:div>
                <w:div w:id="952244089">
                  <w:marLeft w:val="0"/>
                  <w:marRight w:val="0"/>
                  <w:marTop w:val="0"/>
                  <w:marBottom w:val="0"/>
                  <w:divBdr>
                    <w:top w:val="none" w:sz="0" w:space="0" w:color="auto"/>
                    <w:left w:val="none" w:sz="0" w:space="0" w:color="auto"/>
                    <w:bottom w:val="none" w:sz="0" w:space="0" w:color="auto"/>
                    <w:right w:val="none" w:sz="0" w:space="0" w:color="auto"/>
                  </w:divBdr>
                </w:div>
                <w:div w:id="1004166551">
                  <w:marLeft w:val="0"/>
                  <w:marRight w:val="0"/>
                  <w:marTop w:val="0"/>
                  <w:marBottom w:val="0"/>
                  <w:divBdr>
                    <w:top w:val="none" w:sz="0" w:space="0" w:color="auto"/>
                    <w:left w:val="none" w:sz="0" w:space="0" w:color="auto"/>
                    <w:bottom w:val="none" w:sz="0" w:space="0" w:color="auto"/>
                    <w:right w:val="none" w:sz="0" w:space="0" w:color="auto"/>
                  </w:divBdr>
                </w:div>
                <w:div w:id="1283338255">
                  <w:marLeft w:val="0"/>
                  <w:marRight w:val="0"/>
                  <w:marTop w:val="0"/>
                  <w:marBottom w:val="0"/>
                  <w:divBdr>
                    <w:top w:val="none" w:sz="0" w:space="0" w:color="auto"/>
                    <w:left w:val="none" w:sz="0" w:space="0" w:color="auto"/>
                    <w:bottom w:val="none" w:sz="0" w:space="0" w:color="auto"/>
                    <w:right w:val="none" w:sz="0" w:space="0" w:color="auto"/>
                  </w:divBdr>
                </w:div>
                <w:div w:id="1310205507">
                  <w:marLeft w:val="0"/>
                  <w:marRight w:val="0"/>
                  <w:marTop w:val="0"/>
                  <w:marBottom w:val="0"/>
                  <w:divBdr>
                    <w:top w:val="none" w:sz="0" w:space="0" w:color="auto"/>
                    <w:left w:val="none" w:sz="0" w:space="0" w:color="auto"/>
                    <w:bottom w:val="none" w:sz="0" w:space="0" w:color="auto"/>
                    <w:right w:val="none" w:sz="0" w:space="0" w:color="auto"/>
                  </w:divBdr>
                </w:div>
                <w:div w:id="1670403579">
                  <w:marLeft w:val="0"/>
                  <w:marRight w:val="0"/>
                  <w:marTop w:val="0"/>
                  <w:marBottom w:val="0"/>
                  <w:divBdr>
                    <w:top w:val="none" w:sz="0" w:space="0" w:color="auto"/>
                    <w:left w:val="none" w:sz="0" w:space="0" w:color="auto"/>
                    <w:bottom w:val="none" w:sz="0" w:space="0" w:color="auto"/>
                    <w:right w:val="none" w:sz="0" w:space="0" w:color="auto"/>
                  </w:divBdr>
                </w:div>
                <w:div w:id="1725906582">
                  <w:marLeft w:val="0"/>
                  <w:marRight w:val="0"/>
                  <w:marTop w:val="0"/>
                  <w:marBottom w:val="0"/>
                  <w:divBdr>
                    <w:top w:val="none" w:sz="0" w:space="0" w:color="auto"/>
                    <w:left w:val="none" w:sz="0" w:space="0" w:color="auto"/>
                    <w:bottom w:val="none" w:sz="0" w:space="0" w:color="auto"/>
                    <w:right w:val="none" w:sz="0" w:space="0" w:color="auto"/>
                  </w:divBdr>
                </w:div>
                <w:div w:id="1729916205">
                  <w:marLeft w:val="0"/>
                  <w:marRight w:val="0"/>
                  <w:marTop w:val="0"/>
                  <w:marBottom w:val="0"/>
                  <w:divBdr>
                    <w:top w:val="none" w:sz="0" w:space="0" w:color="auto"/>
                    <w:left w:val="none" w:sz="0" w:space="0" w:color="auto"/>
                    <w:bottom w:val="none" w:sz="0" w:space="0" w:color="auto"/>
                    <w:right w:val="none" w:sz="0" w:space="0" w:color="auto"/>
                  </w:divBdr>
                </w:div>
                <w:div w:id="1831674585">
                  <w:marLeft w:val="0"/>
                  <w:marRight w:val="0"/>
                  <w:marTop w:val="0"/>
                  <w:marBottom w:val="0"/>
                  <w:divBdr>
                    <w:top w:val="none" w:sz="0" w:space="0" w:color="auto"/>
                    <w:left w:val="none" w:sz="0" w:space="0" w:color="auto"/>
                    <w:bottom w:val="none" w:sz="0" w:space="0" w:color="auto"/>
                    <w:right w:val="none" w:sz="0" w:space="0" w:color="auto"/>
                  </w:divBdr>
                </w:div>
                <w:div w:id="1869488430">
                  <w:marLeft w:val="0"/>
                  <w:marRight w:val="0"/>
                  <w:marTop w:val="0"/>
                  <w:marBottom w:val="0"/>
                  <w:divBdr>
                    <w:top w:val="none" w:sz="0" w:space="0" w:color="auto"/>
                    <w:left w:val="none" w:sz="0" w:space="0" w:color="auto"/>
                    <w:bottom w:val="none" w:sz="0" w:space="0" w:color="auto"/>
                    <w:right w:val="none" w:sz="0" w:space="0" w:color="auto"/>
                  </w:divBdr>
                </w:div>
                <w:div w:id="1914242953">
                  <w:marLeft w:val="0"/>
                  <w:marRight w:val="0"/>
                  <w:marTop w:val="0"/>
                  <w:marBottom w:val="0"/>
                  <w:divBdr>
                    <w:top w:val="none" w:sz="0" w:space="0" w:color="auto"/>
                    <w:left w:val="none" w:sz="0" w:space="0" w:color="auto"/>
                    <w:bottom w:val="none" w:sz="0" w:space="0" w:color="auto"/>
                    <w:right w:val="none" w:sz="0" w:space="0" w:color="auto"/>
                  </w:divBdr>
                </w:div>
                <w:div w:id="1951474148">
                  <w:marLeft w:val="0"/>
                  <w:marRight w:val="0"/>
                  <w:marTop w:val="0"/>
                  <w:marBottom w:val="0"/>
                  <w:divBdr>
                    <w:top w:val="none" w:sz="0" w:space="0" w:color="auto"/>
                    <w:left w:val="none" w:sz="0" w:space="0" w:color="auto"/>
                    <w:bottom w:val="none" w:sz="0" w:space="0" w:color="auto"/>
                    <w:right w:val="none" w:sz="0" w:space="0" w:color="auto"/>
                  </w:divBdr>
                </w:div>
                <w:div w:id="2025085454">
                  <w:marLeft w:val="0"/>
                  <w:marRight w:val="0"/>
                  <w:marTop w:val="0"/>
                  <w:marBottom w:val="0"/>
                  <w:divBdr>
                    <w:top w:val="none" w:sz="0" w:space="0" w:color="auto"/>
                    <w:left w:val="none" w:sz="0" w:space="0" w:color="auto"/>
                    <w:bottom w:val="none" w:sz="0" w:space="0" w:color="auto"/>
                    <w:right w:val="none" w:sz="0" w:space="0" w:color="auto"/>
                  </w:divBdr>
                </w:div>
              </w:divsChild>
            </w:div>
            <w:div w:id="1125780234">
              <w:marLeft w:val="0"/>
              <w:marRight w:val="0"/>
              <w:marTop w:val="0"/>
              <w:marBottom w:val="0"/>
              <w:divBdr>
                <w:top w:val="none" w:sz="0" w:space="0" w:color="auto"/>
                <w:left w:val="none" w:sz="0" w:space="0" w:color="auto"/>
                <w:bottom w:val="none" w:sz="0" w:space="0" w:color="auto"/>
                <w:right w:val="none" w:sz="0" w:space="0" w:color="auto"/>
              </w:divBdr>
            </w:div>
            <w:div w:id="15654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7502">
      <w:bodyDiv w:val="1"/>
      <w:marLeft w:val="0"/>
      <w:marRight w:val="0"/>
      <w:marTop w:val="0"/>
      <w:marBottom w:val="0"/>
      <w:divBdr>
        <w:top w:val="none" w:sz="0" w:space="0" w:color="auto"/>
        <w:left w:val="none" w:sz="0" w:space="0" w:color="auto"/>
        <w:bottom w:val="none" w:sz="0" w:space="0" w:color="auto"/>
        <w:right w:val="none" w:sz="0" w:space="0" w:color="auto"/>
      </w:divBdr>
    </w:div>
    <w:div w:id="1875575163">
      <w:bodyDiv w:val="1"/>
      <w:marLeft w:val="0"/>
      <w:marRight w:val="0"/>
      <w:marTop w:val="0"/>
      <w:marBottom w:val="0"/>
      <w:divBdr>
        <w:top w:val="none" w:sz="0" w:space="0" w:color="auto"/>
        <w:left w:val="none" w:sz="0" w:space="0" w:color="auto"/>
        <w:bottom w:val="none" w:sz="0" w:space="0" w:color="auto"/>
        <w:right w:val="none" w:sz="0" w:space="0" w:color="auto"/>
      </w:divBdr>
      <w:divsChild>
        <w:div w:id="1111975526">
          <w:marLeft w:val="0"/>
          <w:marRight w:val="0"/>
          <w:marTop w:val="0"/>
          <w:marBottom w:val="0"/>
          <w:divBdr>
            <w:top w:val="none" w:sz="0" w:space="0" w:color="auto"/>
            <w:left w:val="none" w:sz="0" w:space="0" w:color="auto"/>
            <w:bottom w:val="none" w:sz="0" w:space="0" w:color="auto"/>
            <w:right w:val="none" w:sz="0" w:space="0" w:color="auto"/>
          </w:divBdr>
        </w:div>
      </w:divsChild>
    </w:div>
    <w:div w:id="1962028832">
      <w:bodyDiv w:val="1"/>
      <w:marLeft w:val="0"/>
      <w:marRight w:val="0"/>
      <w:marTop w:val="0"/>
      <w:marBottom w:val="0"/>
      <w:divBdr>
        <w:top w:val="none" w:sz="0" w:space="0" w:color="auto"/>
        <w:left w:val="none" w:sz="0" w:space="0" w:color="auto"/>
        <w:bottom w:val="none" w:sz="0" w:space="0" w:color="auto"/>
        <w:right w:val="none" w:sz="0" w:space="0" w:color="auto"/>
      </w:divBdr>
    </w:div>
    <w:div w:id="1963340541">
      <w:bodyDiv w:val="1"/>
      <w:marLeft w:val="0"/>
      <w:marRight w:val="0"/>
      <w:marTop w:val="0"/>
      <w:marBottom w:val="0"/>
      <w:divBdr>
        <w:top w:val="none" w:sz="0" w:space="0" w:color="auto"/>
        <w:left w:val="none" w:sz="0" w:space="0" w:color="auto"/>
        <w:bottom w:val="none" w:sz="0" w:space="0" w:color="auto"/>
        <w:right w:val="none" w:sz="0" w:space="0" w:color="auto"/>
      </w:divBdr>
      <w:divsChild>
        <w:div w:id="518617463">
          <w:marLeft w:val="0"/>
          <w:marRight w:val="0"/>
          <w:marTop w:val="100"/>
          <w:marBottom w:val="100"/>
          <w:divBdr>
            <w:top w:val="none" w:sz="0" w:space="0" w:color="auto"/>
            <w:left w:val="none" w:sz="0" w:space="0" w:color="auto"/>
            <w:bottom w:val="none" w:sz="0" w:space="0" w:color="auto"/>
            <w:right w:val="none" w:sz="0" w:space="0" w:color="auto"/>
          </w:divBdr>
          <w:divsChild>
            <w:div w:id="59208478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992564353">
      <w:bodyDiv w:val="1"/>
      <w:marLeft w:val="0"/>
      <w:marRight w:val="0"/>
      <w:marTop w:val="0"/>
      <w:marBottom w:val="0"/>
      <w:divBdr>
        <w:top w:val="none" w:sz="0" w:space="0" w:color="auto"/>
        <w:left w:val="none" w:sz="0" w:space="0" w:color="auto"/>
        <w:bottom w:val="none" w:sz="0" w:space="0" w:color="auto"/>
        <w:right w:val="none" w:sz="0" w:space="0" w:color="auto"/>
      </w:divBdr>
    </w:div>
    <w:div w:id="2037729299">
      <w:bodyDiv w:val="1"/>
      <w:marLeft w:val="0"/>
      <w:marRight w:val="0"/>
      <w:marTop w:val="0"/>
      <w:marBottom w:val="0"/>
      <w:divBdr>
        <w:top w:val="none" w:sz="0" w:space="0" w:color="auto"/>
        <w:left w:val="none" w:sz="0" w:space="0" w:color="auto"/>
        <w:bottom w:val="none" w:sz="0" w:space="0" w:color="auto"/>
        <w:right w:val="none" w:sz="0" w:space="0" w:color="auto"/>
      </w:divBdr>
    </w:div>
    <w:div w:id="2066639347">
      <w:bodyDiv w:val="1"/>
      <w:marLeft w:val="0"/>
      <w:marRight w:val="0"/>
      <w:marTop w:val="0"/>
      <w:marBottom w:val="0"/>
      <w:divBdr>
        <w:top w:val="none" w:sz="0" w:space="0" w:color="auto"/>
        <w:left w:val="none" w:sz="0" w:space="0" w:color="auto"/>
        <w:bottom w:val="none" w:sz="0" w:space="0" w:color="auto"/>
        <w:right w:val="none" w:sz="0" w:space="0" w:color="auto"/>
      </w:divBdr>
      <w:divsChild>
        <w:div w:id="11535253">
          <w:marLeft w:val="0"/>
          <w:marRight w:val="0"/>
          <w:marTop w:val="0"/>
          <w:marBottom w:val="0"/>
          <w:divBdr>
            <w:top w:val="none" w:sz="0" w:space="0" w:color="auto"/>
            <w:left w:val="none" w:sz="0" w:space="0" w:color="auto"/>
            <w:bottom w:val="none" w:sz="0" w:space="0" w:color="auto"/>
            <w:right w:val="none" w:sz="0" w:space="0" w:color="auto"/>
          </w:divBdr>
        </w:div>
        <w:div w:id="569075429">
          <w:marLeft w:val="0"/>
          <w:marRight w:val="0"/>
          <w:marTop w:val="0"/>
          <w:marBottom w:val="0"/>
          <w:divBdr>
            <w:top w:val="none" w:sz="0" w:space="0" w:color="auto"/>
            <w:left w:val="none" w:sz="0" w:space="0" w:color="auto"/>
            <w:bottom w:val="none" w:sz="0" w:space="0" w:color="auto"/>
            <w:right w:val="none" w:sz="0" w:space="0" w:color="auto"/>
          </w:divBdr>
        </w:div>
        <w:div w:id="1927615022">
          <w:marLeft w:val="0"/>
          <w:marRight w:val="0"/>
          <w:marTop w:val="0"/>
          <w:marBottom w:val="0"/>
          <w:divBdr>
            <w:top w:val="none" w:sz="0" w:space="0" w:color="auto"/>
            <w:left w:val="none" w:sz="0" w:space="0" w:color="auto"/>
            <w:bottom w:val="none" w:sz="0" w:space="0" w:color="auto"/>
            <w:right w:val="none" w:sz="0" w:space="0" w:color="auto"/>
          </w:divBdr>
        </w:div>
      </w:divsChild>
    </w:div>
    <w:div w:id="2085948493">
      <w:bodyDiv w:val="1"/>
      <w:marLeft w:val="0"/>
      <w:marRight w:val="0"/>
      <w:marTop w:val="0"/>
      <w:marBottom w:val="0"/>
      <w:divBdr>
        <w:top w:val="none" w:sz="0" w:space="0" w:color="auto"/>
        <w:left w:val="none" w:sz="0" w:space="0" w:color="auto"/>
        <w:bottom w:val="none" w:sz="0" w:space="0" w:color="auto"/>
        <w:right w:val="none" w:sz="0" w:space="0" w:color="auto"/>
      </w:divBdr>
      <w:divsChild>
        <w:div w:id="1415663121">
          <w:marLeft w:val="0"/>
          <w:marRight w:val="0"/>
          <w:marTop w:val="0"/>
          <w:marBottom w:val="0"/>
          <w:divBdr>
            <w:top w:val="none" w:sz="0" w:space="0" w:color="auto"/>
            <w:left w:val="none" w:sz="0" w:space="0" w:color="auto"/>
            <w:bottom w:val="none" w:sz="0" w:space="0" w:color="auto"/>
            <w:right w:val="none" w:sz="0" w:space="0" w:color="auto"/>
          </w:divBdr>
          <w:divsChild>
            <w:div w:id="3356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4097">
      <w:bodyDiv w:val="1"/>
      <w:marLeft w:val="0"/>
      <w:marRight w:val="0"/>
      <w:marTop w:val="0"/>
      <w:marBottom w:val="0"/>
      <w:divBdr>
        <w:top w:val="none" w:sz="0" w:space="0" w:color="auto"/>
        <w:left w:val="none" w:sz="0" w:space="0" w:color="auto"/>
        <w:bottom w:val="none" w:sz="0" w:space="0" w:color="auto"/>
        <w:right w:val="none" w:sz="0" w:space="0" w:color="auto"/>
      </w:divBdr>
    </w:div>
    <w:div w:id="2104451449">
      <w:bodyDiv w:val="1"/>
      <w:marLeft w:val="0"/>
      <w:marRight w:val="0"/>
      <w:marTop w:val="0"/>
      <w:marBottom w:val="0"/>
      <w:divBdr>
        <w:top w:val="none" w:sz="0" w:space="0" w:color="auto"/>
        <w:left w:val="none" w:sz="0" w:space="0" w:color="auto"/>
        <w:bottom w:val="none" w:sz="0" w:space="0" w:color="auto"/>
        <w:right w:val="none" w:sz="0" w:space="0" w:color="auto"/>
      </w:divBdr>
    </w:div>
    <w:div w:id="2106339109">
      <w:bodyDiv w:val="1"/>
      <w:marLeft w:val="0"/>
      <w:marRight w:val="0"/>
      <w:marTop w:val="0"/>
      <w:marBottom w:val="0"/>
      <w:divBdr>
        <w:top w:val="none" w:sz="0" w:space="0" w:color="auto"/>
        <w:left w:val="none" w:sz="0" w:space="0" w:color="auto"/>
        <w:bottom w:val="none" w:sz="0" w:space="0" w:color="auto"/>
        <w:right w:val="none" w:sz="0" w:space="0" w:color="auto"/>
      </w:divBdr>
      <w:divsChild>
        <w:div w:id="191310310">
          <w:marLeft w:val="0"/>
          <w:marRight w:val="0"/>
          <w:marTop w:val="0"/>
          <w:marBottom w:val="0"/>
          <w:divBdr>
            <w:top w:val="none" w:sz="0" w:space="0" w:color="auto"/>
            <w:left w:val="none" w:sz="0" w:space="0" w:color="auto"/>
            <w:bottom w:val="none" w:sz="0" w:space="0" w:color="auto"/>
            <w:right w:val="none" w:sz="0" w:space="0" w:color="auto"/>
          </w:divBdr>
        </w:div>
        <w:div w:id="953368377">
          <w:marLeft w:val="0"/>
          <w:marRight w:val="0"/>
          <w:marTop w:val="0"/>
          <w:marBottom w:val="0"/>
          <w:divBdr>
            <w:top w:val="none" w:sz="0" w:space="0" w:color="auto"/>
            <w:left w:val="none" w:sz="0" w:space="0" w:color="auto"/>
            <w:bottom w:val="none" w:sz="0" w:space="0" w:color="auto"/>
            <w:right w:val="none" w:sz="0" w:space="0" w:color="auto"/>
          </w:divBdr>
        </w:div>
        <w:div w:id="1232890235">
          <w:marLeft w:val="0"/>
          <w:marRight w:val="0"/>
          <w:marTop w:val="0"/>
          <w:marBottom w:val="0"/>
          <w:divBdr>
            <w:top w:val="none" w:sz="0" w:space="0" w:color="auto"/>
            <w:left w:val="none" w:sz="0" w:space="0" w:color="auto"/>
            <w:bottom w:val="none" w:sz="0" w:space="0" w:color="auto"/>
            <w:right w:val="none" w:sz="0" w:space="0" w:color="auto"/>
          </w:divBdr>
        </w:div>
        <w:div w:id="1760053693">
          <w:marLeft w:val="0"/>
          <w:marRight w:val="0"/>
          <w:marTop w:val="0"/>
          <w:marBottom w:val="0"/>
          <w:divBdr>
            <w:top w:val="none" w:sz="0" w:space="0" w:color="auto"/>
            <w:left w:val="none" w:sz="0" w:space="0" w:color="auto"/>
            <w:bottom w:val="none" w:sz="0" w:space="0" w:color="auto"/>
            <w:right w:val="none" w:sz="0" w:space="0" w:color="auto"/>
          </w:divBdr>
        </w:div>
        <w:div w:id="1972056206">
          <w:marLeft w:val="0"/>
          <w:marRight w:val="0"/>
          <w:marTop w:val="0"/>
          <w:marBottom w:val="0"/>
          <w:divBdr>
            <w:top w:val="none" w:sz="0" w:space="0" w:color="auto"/>
            <w:left w:val="none" w:sz="0" w:space="0" w:color="auto"/>
            <w:bottom w:val="none" w:sz="0" w:space="0" w:color="auto"/>
            <w:right w:val="none" w:sz="0" w:space="0" w:color="auto"/>
          </w:divBdr>
        </w:div>
      </w:divsChild>
    </w:div>
    <w:div w:id="2139834113">
      <w:bodyDiv w:val="1"/>
      <w:marLeft w:val="0"/>
      <w:marRight w:val="0"/>
      <w:marTop w:val="0"/>
      <w:marBottom w:val="0"/>
      <w:divBdr>
        <w:top w:val="none" w:sz="0" w:space="0" w:color="auto"/>
        <w:left w:val="none" w:sz="0" w:space="0" w:color="auto"/>
        <w:bottom w:val="none" w:sz="0" w:space="0" w:color="auto"/>
        <w:right w:val="none" w:sz="0" w:space="0" w:color="auto"/>
      </w:divBdr>
    </w:div>
    <w:div w:id="2140681828">
      <w:bodyDiv w:val="1"/>
      <w:marLeft w:val="0"/>
      <w:marRight w:val="0"/>
      <w:marTop w:val="0"/>
      <w:marBottom w:val="0"/>
      <w:divBdr>
        <w:top w:val="none" w:sz="0" w:space="0" w:color="auto"/>
        <w:left w:val="none" w:sz="0" w:space="0" w:color="auto"/>
        <w:bottom w:val="none" w:sz="0" w:space="0" w:color="auto"/>
        <w:right w:val="none" w:sz="0" w:space="0" w:color="auto"/>
      </w:divBdr>
      <w:divsChild>
        <w:div w:id="1899510321">
          <w:marLeft w:val="0"/>
          <w:marRight w:val="0"/>
          <w:marTop w:val="0"/>
          <w:marBottom w:val="0"/>
          <w:divBdr>
            <w:top w:val="none" w:sz="0" w:space="0" w:color="auto"/>
            <w:left w:val="none" w:sz="0" w:space="0" w:color="auto"/>
            <w:bottom w:val="none" w:sz="0" w:space="0" w:color="auto"/>
            <w:right w:val="none" w:sz="0" w:space="0" w:color="auto"/>
          </w:divBdr>
          <w:divsChild>
            <w:div w:id="157817917">
              <w:marLeft w:val="0"/>
              <w:marRight w:val="0"/>
              <w:marTop w:val="0"/>
              <w:marBottom w:val="0"/>
              <w:divBdr>
                <w:top w:val="none" w:sz="0" w:space="0" w:color="auto"/>
                <w:left w:val="none" w:sz="0" w:space="0" w:color="auto"/>
                <w:bottom w:val="none" w:sz="0" w:space="0" w:color="auto"/>
                <w:right w:val="none" w:sz="0" w:space="0" w:color="auto"/>
              </w:divBdr>
            </w:div>
            <w:div w:id="212889292">
              <w:marLeft w:val="0"/>
              <w:marRight w:val="0"/>
              <w:marTop w:val="0"/>
              <w:marBottom w:val="0"/>
              <w:divBdr>
                <w:top w:val="none" w:sz="0" w:space="0" w:color="auto"/>
                <w:left w:val="none" w:sz="0" w:space="0" w:color="auto"/>
                <w:bottom w:val="none" w:sz="0" w:space="0" w:color="auto"/>
                <w:right w:val="none" w:sz="0" w:space="0" w:color="auto"/>
              </w:divBdr>
            </w:div>
            <w:div w:id="916985497">
              <w:marLeft w:val="0"/>
              <w:marRight w:val="0"/>
              <w:marTop w:val="0"/>
              <w:marBottom w:val="0"/>
              <w:divBdr>
                <w:top w:val="none" w:sz="0" w:space="0" w:color="auto"/>
                <w:left w:val="none" w:sz="0" w:space="0" w:color="auto"/>
                <w:bottom w:val="none" w:sz="0" w:space="0" w:color="auto"/>
                <w:right w:val="none" w:sz="0" w:space="0" w:color="auto"/>
              </w:divBdr>
            </w:div>
            <w:div w:id="1089156903">
              <w:marLeft w:val="0"/>
              <w:marRight w:val="0"/>
              <w:marTop w:val="0"/>
              <w:marBottom w:val="0"/>
              <w:divBdr>
                <w:top w:val="none" w:sz="0" w:space="0" w:color="auto"/>
                <w:left w:val="none" w:sz="0" w:space="0" w:color="auto"/>
                <w:bottom w:val="none" w:sz="0" w:space="0" w:color="auto"/>
                <w:right w:val="none" w:sz="0" w:space="0" w:color="auto"/>
              </w:divBdr>
            </w:div>
            <w:div w:id="1563642336">
              <w:marLeft w:val="0"/>
              <w:marRight w:val="0"/>
              <w:marTop w:val="0"/>
              <w:marBottom w:val="0"/>
              <w:divBdr>
                <w:top w:val="none" w:sz="0" w:space="0" w:color="auto"/>
                <w:left w:val="none" w:sz="0" w:space="0" w:color="auto"/>
                <w:bottom w:val="none" w:sz="0" w:space="0" w:color="auto"/>
                <w:right w:val="none" w:sz="0" w:space="0" w:color="auto"/>
              </w:divBdr>
            </w:div>
            <w:div w:id="175250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fra.gov.uk/environment/quality/water/waterquality/diffuse/nitrate/nvz2008.htm" TargetMode="External"/><Relationship Id="rId18" Type="http://schemas.openxmlformats.org/officeDocument/2006/relationships/hyperlink" Target="http://www.sssi.naturalengland.org.uk/citation/citation_photo/1002990.pdf.%20" TargetMode="External"/><Relationship Id="rId3" Type="http://schemas.openxmlformats.org/officeDocument/2006/relationships/styles" Target="styles.xml"/><Relationship Id="rId21" Type="http://schemas.openxmlformats.org/officeDocument/2006/relationships/hyperlink" Target="http://www.neighbourhood.statistics.gov.uk/dissemination/" TargetMode="External"/><Relationship Id="rId7" Type="http://schemas.openxmlformats.org/officeDocument/2006/relationships/footnotes" Target="footnotes.xml"/><Relationship Id="rId12" Type="http://schemas.openxmlformats.org/officeDocument/2006/relationships/hyperlink" Target="http://www.defra.gov.uk/environment/quality/water/waterquality/sewage/sensarea/regional.htm" TargetMode="External"/><Relationship Id="rId17" Type="http://schemas.openxmlformats.org/officeDocument/2006/relationships/hyperlink" Target="http://www.jncc.gov.uk/protectedsites/sacselection/sac.asp?EUCode=UK0012570" TargetMode="External"/><Relationship Id="rId2" Type="http://schemas.openxmlformats.org/officeDocument/2006/relationships/numbering" Target="numbering.xml"/><Relationship Id="rId16" Type="http://schemas.openxmlformats.org/officeDocument/2006/relationships/hyperlink" Target="http://www.food.gov.uk/foodindustry/farmingfood/shellfish/shellharvestareas/shellclassew201011" TargetMode="External"/><Relationship Id="rId20" Type="http://schemas.openxmlformats.org/officeDocument/2006/relationships/hyperlink" Target="http://www.torridge.gov.uk/index.aspx?articleid=23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fra.gov.uk/evidence/statistics/foodfarm/landuselivestock/junesurvey/results.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aps.environment-agency.gov.uk/wiyby/wiybyController?x=357683.0&amp;y=355134.0&amp;scale=1&amp;layerGroups=default&amp;ep=map&amp;textonly=off&amp;lang=_e&amp;topic=coastalwaters" TargetMode="External"/><Relationship Id="rId23" Type="http://schemas.openxmlformats.org/officeDocument/2006/relationships/fontTable" Target="fontTable.xml"/><Relationship Id="rId10" Type="http://schemas.openxmlformats.org/officeDocument/2006/relationships/hyperlink" Target="http://www.appledorearts.org/index.htm" TargetMode="External"/><Relationship Id="rId19" Type="http://schemas.openxmlformats.org/officeDocument/2006/relationships/hyperlink" Target="http://www.sssi.naturalengland.org.uk/citation/citation_photo/1000016.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maps.environment-agency.gov.uk/wiyby/wiybyController?x=531500.0&amp;y=181500.0&amp;topic=floodmap&amp;ep=map&amp;scale=3&amp;location=London,%20City%20of%20London&amp;lang=_e&amp;layerGroups=default&amp;textonly=off" TargetMode="External"/><Relationship Id="rId22" Type="http://schemas.openxmlformats.org/officeDocument/2006/relationships/hyperlink" Target="http://www.unesco.org/mabdb/br/brdir/directory/biores.asp?mode=all&amp;code=UKM+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6B63-8C84-4F98-827C-9CD65BE0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8910</Words>
  <Characters>50792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Plymouth Marine Laboratory</Company>
  <LinksUpToDate>false</LinksUpToDate>
  <CharactersWithSpaces>59583</CharactersWithSpaces>
  <SharedDoc>false</SharedDoc>
  <HLinks>
    <vt:vector size="42" baseType="variant">
      <vt:variant>
        <vt:i4>196615</vt:i4>
      </vt:variant>
      <vt:variant>
        <vt:i4>228</vt:i4>
      </vt:variant>
      <vt:variant>
        <vt:i4>0</vt:i4>
      </vt:variant>
      <vt:variant>
        <vt:i4>5</vt:i4>
      </vt:variant>
      <vt:variant>
        <vt:lpwstr>http://www.csc.noaa.gov/beachnourishment/html/geo/images/a3f5.htm</vt:lpwstr>
      </vt:variant>
      <vt:variant>
        <vt:lpwstr/>
      </vt:variant>
      <vt:variant>
        <vt:i4>196615</vt:i4>
      </vt:variant>
      <vt:variant>
        <vt:i4>225</vt:i4>
      </vt:variant>
      <vt:variant>
        <vt:i4>0</vt:i4>
      </vt:variant>
      <vt:variant>
        <vt:i4>5</vt:i4>
      </vt:variant>
      <vt:variant>
        <vt:lpwstr>http://www.csc.noaa.gov/beachnourishment/html/geo/images/a3f5.htm</vt:lpwstr>
      </vt:variant>
      <vt:variant>
        <vt:lpwstr/>
      </vt:variant>
      <vt:variant>
        <vt:i4>196615</vt:i4>
      </vt:variant>
      <vt:variant>
        <vt:i4>222</vt:i4>
      </vt:variant>
      <vt:variant>
        <vt:i4>0</vt:i4>
      </vt:variant>
      <vt:variant>
        <vt:i4>5</vt:i4>
      </vt:variant>
      <vt:variant>
        <vt:lpwstr>http://www.csc.noaa.gov/beachnourishment/html/geo/images/a3f5.htm</vt:lpwstr>
      </vt:variant>
      <vt:variant>
        <vt:lpwstr/>
      </vt:variant>
      <vt:variant>
        <vt:i4>2424861</vt:i4>
      </vt:variant>
      <vt:variant>
        <vt:i4>219</vt:i4>
      </vt:variant>
      <vt:variant>
        <vt:i4>0</vt:i4>
      </vt:variant>
      <vt:variant>
        <vt:i4>5</vt:i4>
      </vt:variant>
      <vt:variant>
        <vt:lpwstr>http://www.csc.noaa.gov/beachnourishment/html/geo/glossary.htm</vt:lpwstr>
      </vt:variant>
      <vt:variant>
        <vt:lpwstr>e</vt:lpwstr>
      </vt:variant>
      <vt:variant>
        <vt:i4>6029396</vt:i4>
      </vt:variant>
      <vt:variant>
        <vt:i4>216</vt:i4>
      </vt:variant>
      <vt:variant>
        <vt:i4>0</vt:i4>
      </vt:variant>
      <vt:variant>
        <vt:i4>5</vt:i4>
      </vt:variant>
      <vt:variant>
        <vt:lpwstr>http://www.torridge.gov.uk/index.aspx?articleid=2182</vt:lpwstr>
      </vt:variant>
      <vt:variant>
        <vt:lpwstr/>
      </vt:variant>
      <vt:variant>
        <vt:i4>1966170</vt:i4>
      </vt:variant>
      <vt:variant>
        <vt:i4>213</vt:i4>
      </vt:variant>
      <vt:variant>
        <vt:i4>0</vt:i4>
      </vt:variant>
      <vt:variant>
        <vt:i4>5</vt:i4>
      </vt:variant>
      <vt:variant>
        <vt:lpwstr>http://apps.isiknowledge.com.ezp2.bath.ac.uk/CitingArticles.do?product=UA&amp;SID=P2jIgBLPL6ElbFHp45D&amp;search_mode=CitingArticles&amp;parentQid=6&amp;parentDoc=1&amp;db_id=WOS&amp;recid=119995947</vt:lpwstr>
      </vt:variant>
      <vt:variant>
        <vt:lpwstr/>
      </vt:variant>
      <vt:variant>
        <vt:i4>1769555</vt:i4>
      </vt:variant>
      <vt:variant>
        <vt:i4>210</vt:i4>
      </vt:variant>
      <vt:variant>
        <vt:i4>0</vt:i4>
      </vt:variant>
      <vt:variant>
        <vt:i4>5</vt:i4>
      </vt:variant>
      <vt:variant>
        <vt:lpwstr>http://apps.isiknowledge.com.ezp2.bath.ac.uk/full_record.do?product=UA&amp;search_mode=Refine&amp;qid=6&amp;SID=P2jIgBLPL6ElbFHp45D&amp;page=1&amp;doc=1&amp;colname=WOS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Hooper</dc:creator>
  <cp:lastModifiedBy>Tara Hooper</cp:lastModifiedBy>
  <cp:revision>2</cp:revision>
  <cp:lastPrinted>2013-08-22T15:40:00Z</cp:lastPrinted>
  <dcterms:created xsi:type="dcterms:W3CDTF">2016-06-29T09:54:00Z</dcterms:created>
  <dcterms:modified xsi:type="dcterms:W3CDTF">2016-06-29T09:54:00Z</dcterms:modified>
</cp:coreProperties>
</file>